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F5" w:rsidRPr="00BC64E0" w:rsidRDefault="00283FF5" w:rsidP="00BC64E0">
      <w:pPr>
        <w:pStyle w:val="Zwykytekst"/>
        <w:jc w:val="both"/>
        <w:rPr>
          <w:rFonts w:ascii="Garamond" w:hAnsi="Garamond"/>
          <w:sz w:val="24"/>
          <w:szCs w:val="24"/>
        </w:rPr>
      </w:pPr>
    </w:p>
    <w:p w:rsidR="00283FF5" w:rsidRPr="00BC64E0" w:rsidRDefault="00283FF5" w:rsidP="00BC64E0">
      <w:pPr>
        <w:pStyle w:val="Zwykytekst"/>
        <w:jc w:val="both"/>
        <w:rPr>
          <w:rFonts w:ascii="Garamond" w:hAnsi="Garamond"/>
          <w:sz w:val="24"/>
          <w:szCs w:val="24"/>
        </w:rPr>
      </w:pPr>
      <w:r w:rsidRPr="00BC64E0">
        <w:rPr>
          <w:rFonts w:ascii="Garamond" w:hAnsi="Garamond"/>
          <w:sz w:val="24"/>
          <w:szCs w:val="24"/>
        </w:rPr>
        <w:t xml:space="preserve">                                                                                                      Poznań 12 października 2018 r.</w:t>
      </w:r>
    </w:p>
    <w:p w:rsidR="00283FF5" w:rsidRPr="00BC64E0" w:rsidRDefault="00283FF5" w:rsidP="00BC64E0">
      <w:pPr>
        <w:pStyle w:val="Zwykytekst"/>
        <w:jc w:val="both"/>
        <w:rPr>
          <w:rFonts w:ascii="Garamond" w:hAnsi="Garamond"/>
          <w:sz w:val="24"/>
          <w:szCs w:val="24"/>
        </w:rPr>
      </w:pPr>
    </w:p>
    <w:p w:rsidR="00283FF5" w:rsidRPr="00BC64E0" w:rsidRDefault="00283FF5" w:rsidP="00BC64E0">
      <w:pPr>
        <w:pStyle w:val="Zwykytekst"/>
        <w:jc w:val="both"/>
        <w:rPr>
          <w:rFonts w:ascii="Garamond" w:hAnsi="Garamond"/>
          <w:sz w:val="24"/>
          <w:szCs w:val="24"/>
        </w:rPr>
      </w:pPr>
    </w:p>
    <w:p w:rsidR="00283FF5" w:rsidRPr="00685F6B" w:rsidRDefault="00283FF5" w:rsidP="00BC64E0">
      <w:pPr>
        <w:pStyle w:val="Zwykytekst"/>
        <w:jc w:val="both"/>
        <w:rPr>
          <w:rFonts w:ascii="Garamond" w:hAnsi="Garamond"/>
          <w:b/>
          <w:sz w:val="24"/>
          <w:szCs w:val="24"/>
        </w:rPr>
      </w:pPr>
      <w:r w:rsidRPr="00685F6B">
        <w:rPr>
          <w:rFonts w:ascii="Garamond" w:hAnsi="Garamond"/>
          <w:b/>
          <w:sz w:val="24"/>
          <w:szCs w:val="24"/>
        </w:rPr>
        <w:t>Prezydium Rady Okręgowej Izby Radców Prawnych w Poznaniu</w:t>
      </w:r>
    </w:p>
    <w:p w:rsidR="00283FF5" w:rsidRPr="00BC64E0" w:rsidRDefault="00283FF5" w:rsidP="00BC64E0">
      <w:pPr>
        <w:pStyle w:val="Zwykytekst"/>
        <w:jc w:val="both"/>
        <w:rPr>
          <w:rFonts w:ascii="Garamond" w:hAnsi="Garamond"/>
          <w:sz w:val="24"/>
          <w:szCs w:val="24"/>
        </w:rPr>
      </w:pPr>
    </w:p>
    <w:p w:rsidR="00283FF5" w:rsidRPr="00BC64E0" w:rsidRDefault="00283FF5" w:rsidP="00BC64E0">
      <w:pPr>
        <w:pStyle w:val="Zwykytekst"/>
        <w:jc w:val="both"/>
        <w:rPr>
          <w:rFonts w:ascii="Garamond" w:hAnsi="Garamond"/>
          <w:sz w:val="24"/>
          <w:szCs w:val="24"/>
        </w:rPr>
      </w:pPr>
    </w:p>
    <w:p w:rsidR="00283FF5" w:rsidRPr="00BC64E0" w:rsidRDefault="00283FF5" w:rsidP="00BC64E0">
      <w:pPr>
        <w:pStyle w:val="Zwykytekst"/>
        <w:jc w:val="both"/>
        <w:rPr>
          <w:rFonts w:ascii="Garamond" w:hAnsi="Garamond"/>
          <w:sz w:val="24"/>
          <w:szCs w:val="24"/>
        </w:rPr>
      </w:pPr>
    </w:p>
    <w:p w:rsidR="00685F6B" w:rsidRDefault="00283FF5" w:rsidP="00685F6B">
      <w:pPr>
        <w:pStyle w:val="Zwykytekst"/>
        <w:jc w:val="center"/>
        <w:rPr>
          <w:rFonts w:ascii="Garamond" w:hAnsi="Garamond"/>
          <w:b/>
          <w:sz w:val="24"/>
          <w:szCs w:val="24"/>
        </w:rPr>
      </w:pPr>
      <w:r w:rsidRPr="00685F6B">
        <w:rPr>
          <w:rFonts w:ascii="Garamond" w:hAnsi="Garamond"/>
          <w:b/>
          <w:sz w:val="24"/>
          <w:szCs w:val="24"/>
        </w:rPr>
        <w:t xml:space="preserve">Stanowisko </w:t>
      </w:r>
    </w:p>
    <w:p w:rsidR="00283FF5" w:rsidRPr="00685F6B" w:rsidRDefault="00283FF5" w:rsidP="00685F6B">
      <w:pPr>
        <w:pStyle w:val="Zwykytekst"/>
        <w:jc w:val="center"/>
        <w:rPr>
          <w:rFonts w:ascii="Garamond" w:hAnsi="Garamond"/>
          <w:b/>
          <w:sz w:val="24"/>
          <w:szCs w:val="24"/>
        </w:rPr>
      </w:pPr>
      <w:r w:rsidRPr="00685F6B">
        <w:rPr>
          <w:rFonts w:ascii="Garamond" w:hAnsi="Garamond"/>
          <w:b/>
          <w:sz w:val="24"/>
          <w:szCs w:val="24"/>
        </w:rPr>
        <w:t>Komisji do spraw Legislacji Okręgowej Izby Radców Prawnych w Poznaniu w sprawie sposobu wyznaczania kuratorów z urzędu</w:t>
      </w:r>
    </w:p>
    <w:p w:rsidR="00283FF5" w:rsidRPr="00BC64E0" w:rsidRDefault="00283FF5" w:rsidP="00BC64E0">
      <w:pPr>
        <w:pStyle w:val="Zwykytekst"/>
        <w:jc w:val="both"/>
        <w:rPr>
          <w:rFonts w:ascii="Garamond" w:hAnsi="Garamond"/>
          <w:sz w:val="24"/>
          <w:szCs w:val="24"/>
        </w:rPr>
      </w:pPr>
    </w:p>
    <w:p w:rsidR="00283FF5" w:rsidRPr="00BC64E0" w:rsidRDefault="00283FF5" w:rsidP="00BC64E0">
      <w:pPr>
        <w:pStyle w:val="Zwykytekst"/>
        <w:jc w:val="both"/>
        <w:rPr>
          <w:rFonts w:ascii="Garamond" w:hAnsi="Garamond"/>
          <w:sz w:val="24"/>
          <w:szCs w:val="24"/>
        </w:rPr>
      </w:pPr>
    </w:p>
    <w:p w:rsidR="00283FF5" w:rsidRPr="00685F6B" w:rsidRDefault="00283FF5" w:rsidP="00BC64E0">
      <w:pPr>
        <w:pStyle w:val="Zwykytekst"/>
        <w:jc w:val="both"/>
        <w:rPr>
          <w:rFonts w:ascii="Garamond" w:hAnsi="Garamond"/>
          <w:b/>
          <w:sz w:val="24"/>
          <w:szCs w:val="24"/>
        </w:rPr>
      </w:pPr>
      <w:r w:rsidRPr="00685F6B">
        <w:rPr>
          <w:rFonts w:ascii="Garamond" w:hAnsi="Garamond"/>
          <w:b/>
          <w:sz w:val="24"/>
          <w:szCs w:val="24"/>
        </w:rPr>
        <w:t>Zagadnienie:</w:t>
      </w:r>
    </w:p>
    <w:p w:rsidR="00283FF5" w:rsidRPr="00BC64E0" w:rsidRDefault="00283FF5" w:rsidP="00BC64E0">
      <w:pPr>
        <w:pStyle w:val="Zwykytekst"/>
        <w:jc w:val="both"/>
        <w:rPr>
          <w:rFonts w:ascii="Garamond" w:hAnsi="Garamond"/>
          <w:sz w:val="24"/>
          <w:szCs w:val="24"/>
        </w:rPr>
      </w:pPr>
    </w:p>
    <w:p w:rsidR="00283FF5" w:rsidRPr="00BC64E0" w:rsidRDefault="00283FF5" w:rsidP="00BC64E0">
      <w:pPr>
        <w:pStyle w:val="Zwykytekst"/>
        <w:jc w:val="both"/>
        <w:rPr>
          <w:rFonts w:ascii="Garamond" w:hAnsi="Garamond"/>
          <w:sz w:val="24"/>
          <w:szCs w:val="24"/>
        </w:rPr>
      </w:pPr>
      <w:r w:rsidRPr="00BC64E0">
        <w:rPr>
          <w:rFonts w:ascii="Garamond" w:hAnsi="Garamond"/>
          <w:sz w:val="24"/>
          <w:szCs w:val="24"/>
        </w:rPr>
        <w:t>Sąd Okręgowy w Kaliszu V Wydział Pracy i Ubezpieczeń Społecznych pismem z dnia 24 września 2018 r. zwrócił się do Okręgowej Izby Radców Prawnych w Poznaniu „z prośbą o wyznaczenie kuratora</w:t>
      </w:r>
      <w:r w:rsidR="00685F6B">
        <w:rPr>
          <w:rFonts w:ascii="Garamond" w:hAnsi="Garamond"/>
          <w:sz w:val="24"/>
          <w:szCs w:val="24"/>
        </w:rPr>
        <w:t>”</w:t>
      </w:r>
      <w:r w:rsidRPr="00BC64E0">
        <w:rPr>
          <w:rFonts w:ascii="Garamond" w:hAnsi="Garamond"/>
          <w:sz w:val="24"/>
          <w:szCs w:val="24"/>
        </w:rPr>
        <w:t>, a powy</w:t>
      </w:r>
      <w:r w:rsidR="00A87F28" w:rsidRPr="00BC64E0">
        <w:rPr>
          <w:rFonts w:ascii="Garamond" w:hAnsi="Garamond"/>
          <w:sz w:val="24"/>
          <w:szCs w:val="24"/>
        </w:rPr>
        <w:t>ższa prośba wynika z wydanego przez Sąd</w:t>
      </w:r>
      <w:r w:rsidR="00685F6B">
        <w:rPr>
          <w:rFonts w:ascii="Garamond" w:hAnsi="Garamond"/>
          <w:sz w:val="24"/>
          <w:szCs w:val="24"/>
        </w:rPr>
        <w:t xml:space="preserve"> Okręgowy w Kaliszu V Wydział Pracy i Ubezpieczeń Społecznych</w:t>
      </w:r>
      <w:r w:rsidR="00A87F28" w:rsidRPr="00BC64E0">
        <w:rPr>
          <w:rFonts w:ascii="Garamond" w:hAnsi="Garamond"/>
          <w:sz w:val="24"/>
          <w:szCs w:val="24"/>
        </w:rPr>
        <w:t xml:space="preserve"> postanowienia z dnia 21 września 2018 r.</w:t>
      </w:r>
      <w:r w:rsidR="00685F6B">
        <w:rPr>
          <w:rFonts w:ascii="Garamond" w:hAnsi="Garamond"/>
          <w:sz w:val="24"/>
          <w:szCs w:val="24"/>
        </w:rPr>
        <w:t xml:space="preserve"> – sygn. akt VU 1157/14 - , </w:t>
      </w:r>
      <w:r w:rsidR="00A87F28" w:rsidRPr="00BC64E0">
        <w:rPr>
          <w:rFonts w:ascii="Garamond" w:hAnsi="Garamond"/>
          <w:sz w:val="24"/>
          <w:szCs w:val="24"/>
        </w:rPr>
        <w:t xml:space="preserve"> który</w:t>
      </w:r>
      <w:r w:rsidR="00685F6B">
        <w:rPr>
          <w:rFonts w:ascii="Garamond" w:hAnsi="Garamond"/>
          <w:sz w:val="24"/>
          <w:szCs w:val="24"/>
        </w:rPr>
        <w:t xml:space="preserve"> to Sąd</w:t>
      </w:r>
      <w:r w:rsidR="00A87F28" w:rsidRPr="00BC64E0">
        <w:rPr>
          <w:rFonts w:ascii="Garamond" w:hAnsi="Garamond"/>
          <w:sz w:val="24"/>
          <w:szCs w:val="24"/>
        </w:rPr>
        <w:t xml:space="preserve"> na podstawie art. 69 § 1 k.p.c. w związku z  art. 460 § 2 k.p.c. ustanowił dla spółki z o.o. „kuratora w osobie radcy prawnego , którego wyznaczy Okręgowa Izba Radców Prawnych w Poznaniu</w:t>
      </w:r>
      <w:r w:rsidR="00685F6B">
        <w:rPr>
          <w:rFonts w:ascii="Garamond" w:hAnsi="Garamond"/>
          <w:sz w:val="24"/>
          <w:szCs w:val="24"/>
        </w:rPr>
        <w:t xml:space="preserve"> (…) wobec okoliczności, że zainteresowany w sprawie nie może prowadzić swoich spraw, z uwagi na brak powołanych do tego właściwych organów (…)”</w:t>
      </w:r>
      <w:r w:rsidR="00A87F28" w:rsidRPr="00BC64E0">
        <w:rPr>
          <w:rFonts w:ascii="Garamond" w:hAnsi="Garamond"/>
          <w:sz w:val="24"/>
          <w:szCs w:val="24"/>
        </w:rPr>
        <w:t>.</w:t>
      </w:r>
    </w:p>
    <w:p w:rsidR="00283FF5" w:rsidRPr="00BC64E0" w:rsidRDefault="00283FF5" w:rsidP="00BC64E0">
      <w:pPr>
        <w:pStyle w:val="Zwykytekst"/>
        <w:jc w:val="both"/>
        <w:rPr>
          <w:rFonts w:ascii="Garamond" w:hAnsi="Garamond"/>
          <w:sz w:val="24"/>
          <w:szCs w:val="24"/>
        </w:rPr>
      </w:pPr>
    </w:p>
    <w:p w:rsidR="00A87F28" w:rsidRPr="00685F6B" w:rsidRDefault="00A87F28" w:rsidP="00BC64E0">
      <w:pPr>
        <w:pStyle w:val="Zwykytekst"/>
        <w:jc w:val="both"/>
        <w:rPr>
          <w:rFonts w:ascii="Garamond" w:hAnsi="Garamond"/>
          <w:b/>
          <w:sz w:val="24"/>
          <w:szCs w:val="24"/>
        </w:rPr>
      </w:pPr>
      <w:r w:rsidRPr="00685F6B">
        <w:rPr>
          <w:rFonts w:ascii="Garamond" w:hAnsi="Garamond"/>
          <w:b/>
          <w:sz w:val="24"/>
          <w:szCs w:val="24"/>
        </w:rPr>
        <w:t>Przepisy prawne:</w:t>
      </w:r>
    </w:p>
    <w:p w:rsidR="00A87F28" w:rsidRPr="00BC64E0" w:rsidRDefault="00A87F28" w:rsidP="00BC64E0">
      <w:pPr>
        <w:pStyle w:val="Zwykytekst"/>
        <w:jc w:val="both"/>
        <w:rPr>
          <w:rFonts w:ascii="Garamond" w:hAnsi="Garamond"/>
          <w:sz w:val="24"/>
          <w:szCs w:val="24"/>
        </w:rPr>
      </w:pPr>
    </w:p>
    <w:p w:rsidR="00283FF5" w:rsidRPr="007B3567" w:rsidRDefault="00A87F28" w:rsidP="00BC64E0">
      <w:pPr>
        <w:pStyle w:val="Zwykytekst"/>
        <w:jc w:val="both"/>
        <w:rPr>
          <w:rFonts w:ascii="Garamond" w:hAnsi="Garamond"/>
          <w:sz w:val="28"/>
          <w:szCs w:val="28"/>
        </w:rPr>
      </w:pPr>
      <w:r w:rsidRPr="007B3567">
        <w:rPr>
          <w:rFonts w:ascii="Garamond" w:hAnsi="Garamond"/>
          <w:sz w:val="24"/>
          <w:szCs w:val="24"/>
        </w:rPr>
        <w:t xml:space="preserve">Zgodnie z Art. 69 </w:t>
      </w:r>
      <w:r w:rsidR="007B3567" w:rsidRPr="007B3567">
        <w:rPr>
          <w:rFonts w:ascii="Garamond" w:hAnsi="Garamond"/>
          <w:sz w:val="24"/>
          <w:szCs w:val="24"/>
        </w:rPr>
        <w:t>§ 1 zd. pierwsze</w:t>
      </w:r>
      <w:r w:rsidRPr="00BC64E0">
        <w:rPr>
          <w:rFonts w:ascii="Garamond" w:hAnsi="Garamond"/>
          <w:sz w:val="24"/>
          <w:szCs w:val="24"/>
        </w:rPr>
        <w:t xml:space="preserve"> k.p.c.</w:t>
      </w:r>
      <w:r w:rsidR="00283FF5" w:rsidRPr="00BC64E0">
        <w:rPr>
          <w:rFonts w:ascii="Garamond" w:hAnsi="Garamond"/>
          <w:sz w:val="24"/>
          <w:szCs w:val="24"/>
        </w:rPr>
        <w:t xml:space="preserve"> </w:t>
      </w:r>
      <w:r w:rsidRPr="007B3567">
        <w:rPr>
          <w:rFonts w:ascii="Garamond" w:hAnsi="Garamond"/>
          <w:sz w:val="28"/>
          <w:szCs w:val="28"/>
        </w:rPr>
        <w:t>„</w:t>
      </w:r>
      <w:r w:rsidR="00283FF5" w:rsidRPr="007B3567">
        <w:rPr>
          <w:rFonts w:ascii="Garamond" w:hAnsi="Garamond"/>
          <w:sz w:val="28"/>
          <w:szCs w:val="28"/>
        </w:rPr>
        <w:t>Sąd orzekający, na wniosek strony przeciwnej, ustanawia kuratora dla strony niemającej zdolności procesowej, która nie ma przedstawiciela ustawowego, dla strony będącej osobą prawną, gdy w jej organie zachodzą braki uniemożliwiające jej reprezentację, albo dla strony będącej jednostką organiza</w:t>
      </w:r>
      <w:r w:rsidR="007B3567">
        <w:rPr>
          <w:rFonts w:ascii="Garamond" w:hAnsi="Garamond"/>
          <w:sz w:val="28"/>
          <w:szCs w:val="28"/>
        </w:rPr>
        <w:t xml:space="preserve">cyjną, </w:t>
      </w:r>
      <w:r w:rsidR="007B3567" w:rsidRPr="007B3567">
        <w:rPr>
          <w:rFonts w:ascii="Garamond" w:hAnsi="Garamond"/>
          <w:sz w:val="28"/>
          <w:szCs w:val="28"/>
        </w:rPr>
        <w:t xml:space="preserve">o której mowa w </w:t>
      </w:r>
      <w:hyperlink r:id="rId7" w:history="1">
        <w:r w:rsidR="007B3567" w:rsidRPr="007B3567">
          <w:rPr>
            <w:rStyle w:val="Hipercze"/>
            <w:rFonts w:ascii="Garamond" w:hAnsi="Garamond"/>
            <w:color w:val="auto"/>
            <w:sz w:val="28"/>
            <w:szCs w:val="28"/>
          </w:rPr>
          <w:t>art. 64 § 1</w:t>
        </w:r>
        <w:r w:rsidR="007B3567" w:rsidRPr="007B3567">
          <w:rPr>
            <w:rStyle w:val="Hipercze"/>
            <w:rFonts w:ascii="Garamond" w:hAnsi="Garamond"/>
            <w:color w:val="auto"/>
            <w:sz w:val="28"/>
            <w:szCs w:val="28"/>
            <w:vertAlign w:val="superscript"/>
          </w:rPr>
          <w:t>1</w:t>
        </w:r>
        <w:r w:rsidR="007B3567" w:rsidRPr="007B3567">
          <w:rPr>
            <w:rStyle w:val="Hipercze"/>
            <w:rFonts w:ascii="Garamond" w:hAnsi="Garamond"/>
            <w:color w:val="auto"/>
            <w:sz w:val="28"/>
            <w:szCs w:val="28"/>
          </w:rPr>
          <w:t>,</w:t>
        </w:r>
      </w:hyperlink>
      <w:r w:rsidR="007B3567" w:rsidRPr="007B3567">
        <w:rPr>
          <w:rFonts w:ascii="Garamond" w:hAnsi="Garamond"/>
          <w:sz w:val="28"/>
          <w:szCs w:val="28"/>
        </w:rPr>
        <w:t xml:space="preserve"> gdy brak jest osób uprawnionych do jej reprezentowania.</w:t>
      </w:r>
      <w:r w:rsidR="00DE0BB4" w:rsidRPr="007B3567">
        <w:rPr>
          <w:rFonts w:ascii="Garamond" w:hAnsi="Garamond"/>
          <w:sz w:val="28"/>
          <w:szCs w:val="28"/>
        </w:rPr>
        <w:t>”</w:t>
      </w:r>
      <w:r w:rsidR="00283FF5" w:rsidRPr="007B3567">
        <w:rPr>
          <w:rFonts w:ascii="Garamond" w:hAnsi="Garamond"/>
          <w:sz w:val="28"/>
          <w:szCs w:val="28"/>
        </w:rPr>
        <w:t>.</w:t>
      </w:r>
    </w:p>
    <w:p w:rsidR="00283FF5" w:rsidRPr="00BC64E0" w:rsidRDefault="00283FF5" w:rsidP="00BC64E0">
      <w:pPr>
        <w:pStyle w:val="Zwykytekst"/>
        <w:jc w:val="both"/>
        <w:rPr>
          <w:rFonts w:ascii="Garamond" w:hAnsi="Garamond"/>
          <w:sz w:val="24"/>
          <w:szCs w:val="24"/>
        </w:rPr>
      </w:pPr>
    </w:p>
    <w:p w:rsidR="00283FF5" w:rsidRPr="00BC64E0" w:rsidRDefault="007B3567" w:rsidP="00BC64E0">
      <w:pPr>
        <w:pStyle w:val="Zwykytekst"/>
        <w:jc w:val="both"/>
        <w:rPr>
          <w:rFonts w:ascii="Garamond" w:hAnsi="Garamond"/>
          <w:sz w:val="24"/>
          <w:szCs w:val="24"/>
        </w:rPr>
      </w:pPr>
      <w:r>
        <w:rPr>
          <w:rFonts w:ascii="Garamond" w:hAnsi="Garamond"/>
          <w:sz w:val="24"/>
          <w:szCs w:val="24"/>
        </w:rPr>
        <w:t xml:space="preserve">Stosowanie do Art. 460  § 2 </w:t>
      </w:r>
      <w:r w:rsidR="00DE0BB4" w:rsidRPr="007B3567">
        <w:rPr>
          <w:rFonts w:ascii="Garamond" w:hAnsi="Garamond"/>
          <w:sz w:val="28"/>
          <w:szCs w:val="28"/>
        </w:rPr>
        <w:t>„</w:t>
      </w:r>
      <w:r w:rsidR="00283FF5" w:rsidRPr="007B3567">
        <w:rPr>
          <w:rFonts w:ascii="Garamond" w:hAnsi="Garamond"/>
          <w:sz w:val="28"/>
          <w:szCs w:val="28"/>
        </w:rPr>
        <w:t>W razie potrzeby ustanowienia dla strony kuratora, postanowienie, o którym mowa w art. 69, może zapaść również z urzędu.</w:t>
      </w:r>
      <w:r w:rsidR="00DE0BB4" w:rsidRPr="007B3567">
        <w:rPr>
          <w:rFonts w:ascii="Garamond" w:hAnsi="Garamond"/>
          <w:sz w:val="28"/>
          <w:szCs w:val="28"/>
        </w:rPr>
        <w:t>”.</w:t>
      </w:r>
    </w:p>
    <w:p w:rsidR="00283FF5" w:rsidRPr="00BC64E0" w:rsidRDefault="00283FF5" w:rsidP="00BC64E0">
      <w:pPr>
        <w:pStyle w:val="Zwykytekst"/>
        <w:jc w:val="both"/>
        <w:rPr>
          <w:rFonts w:ascii="Garamond" w:hAnsi="Garamond"/>
          <w:sz w:val="24"/>
          <w:szCs w:val="24"/>
        </w:rPr>
      </w:pPr>
    </w:p>
    <w:p w:rsidR="007B3567" w:rsidRDefault="007B3567" w:rsidP="00BC64E0">
      <w:p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W przepisach procedury cywilnej wyodrębnić należy dwie kategorie spraw tj. ustanowienie przez sąd kuratora dla strony niemającej zdolności procesowej oraz wyznaczenie na żądanie sądu przez właściwą radę okręgowej izby radców prawnych radcy prawnego dla strony w przypadkach wyszczególnionych w przepisach kpc .  </w:t>
      </w:r>
    </w:p>
    <w:p w:rsidR="007B3567" w:rsidRDefault="007B3567" w:rsidP="00BC64E0">
      <w:pPr>
        <w:spacing w:after="0" w:line="240" w:lineRule="auto"/>
        <w:jc w:val="both"/>
        <w:rPr>
          <w:rFonts w:ascii="Garamond" w:eastAsia="Times New Roman" w:hAnsi="Garamond" w:cs="Times New Roman"/>
          <w:sz w:val="24"/>
          <w:szCs w:val="24"/>
          <w:lang w:eastAsia="pl-PL"/>
        </w:rPr>
      </w:pPr>
    </w:p>
    <w:p w:rsidR="007B3567" w:rsidRDefault="007B3567" w:rsidP="007B3567">
      <w:pPr>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Ustanowienie radcy prawnego w przypadkach opisanych w art. 117 kpc. </w:t>
      </w:r>
    </w:p>
    <w:p w:rsidR="007B3567" w:rsidRPr="00BC64E0" w:rsidRDefault="007B3567" w:rsidP="007B3567">
      <w:pPr>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Zgodnie z Art. 117 kpc</w:t>
      </w:r>
    </w:p>
    <w:p w:rsidR="007B3567" w:rsidRPr="00FF6357" w:rsidRDefault="007B3567" w:rsidP="007B3567">
      <w:pPr>
        <w:spacing w:after="0" w:line="240" w:lineRule="auto"/>
        <w:jc w:val="both"/>
        <w:rPr>
          <w:rFonts w:ascii="Garamond" w:eastAsia="Times New Roman" w:hAnsi="Garamond" w:cs="Times New Roman"/>
          <w:sz w:val="28"/>
          <w:szCs w:val="28"/>
          <w:lang w:eastAsia="pl-PL"/>
        </w:rPr>
      </w:pPr>
      <w:r w:rsidRPr="00FF6357">
        <w:rPr>
          <w:rFonts w:ascii="Garamond" w:eastAsia="Times New Roman" w:hAnsi="Garamond" w:cs="Times New Roman"/>
          <w:sz w:val="28"/>
          <w:szCs w:val="28"/>
          <w:lang w:eastAsia="pl-PL"/>
        </w:rPr>
        <w:t>„§ 1. Strona zwolniona przez sąd od kosztów sądowych w całości lub części, może domagać się ustanowienia adwokata lub radcy prawnego.</w:t>
      </w:r>
    </w:p>
    <w:p w:rsidR="007B3567" w:rsidRPr="00FF6357" w:rsidRDefault="007B3567" w:rsidP="007B3567">
      <w:pPr>
        <w:spacing w:after="0" w:line="240" w:lineRule="auto"/>
        <w:jc w:val="both"/>
        <w:rPr>
          <w:rFonts w:ascii="Garamond" w:eastAsia="Times New Roman" w:hAnsi="Garamond" w:cs="Times New Roman"/>
          <w:sz w:val="28"/>
          <w:szCs w:val="28"/>
          <w:lang w:eastAsia="pl-PL"/>
        </w:rPr>
      </w:pPr>
      <w:r w:rsidRPr="00FF6357">
        <w:rPr>
          <w:rFonts w:ascii="Garamond" w:eastAsia="Times New Roman" w:hAnsi="Garamond" w:cs="Times New Roman"/>
          <w:sz w:val="28"/>
          <w:szCs w:val="28"/>
          <w:lang w:eastAsia="pl-PL"/>
        </w:rPr>
        <w:t xml:space="preserve">§ 2. Osoba fizyczna, niezwolniona przez sąd od kosztów sądowych, może się domagać ustanowienia adwokata lub radcy prawnego, jeżeli złoży oświadczenie, z </w:t>
      </w:r>
      <w:r w:rsidRPr="00FF6357">
        <w:rPr>
          <w:rFonts w:ascii="Garamond" w:eastAsia="Times New Roman" w:hAnsi="Garamond" w:cs="Times New Roman"/>
          <w:sz w:val="28"/>
          <w:szCs w:val="28"/>
          <w:lang w:eastAsia="pl-PL"/>
        </w:rPr>
        <w:lastRenderedPageBreak/>
        <w:t>którego wynika, że nie jest w stanie ponieść kosztów wynagrodzenia adwokata lub radcy prawnego bez uszczerbku utrzymania koniecznego dla siebie i rodziny.</w:t>
      </w:r>
    </w:p>
    <w:p w:rsidR="007B3567" w:rsidRPr="00FF6357" w:rsidRDefault="007B3567" w:rsidP="007B3567">
      <w:pPr>
        <w:spacing w:after="0" w:line="240" w:lineRule="auto"/>
        <w:jc w:val="both"/>
        <w:rPr>
          <w:rFonts w:ascii="Garamond" w:eastAsia="Times New Roman" w:hAnsi="Garamond" w:cs="Times New Roman"/>
          <w:sz w:val="28"/>
          <w:szCs w:val="28"/>
          <w:lang w:eastAsia="pl-PL"/>
        </w:rPr>
      </w:pPr>
      <w:r w:rsidRPr="00FF6357">
        <w:rPr>
          <w:rFonts w:ascii="Garamond" w:eastAsia="Times New Roman" w:hAnsi="Garamond" w:cs="Times New Roman"/>
          <w:sz w:val="28"/>
          <w:szCs w:val="28"/>
          <w:lang w:eastAsia="pl-PL"/>
        </w:rPr>
        <w:t>§ 3. Osoba prawna lub inna jednostka organizacyjna, której ustawa przyznaje zdolność sądową, niezwolniona przez sąd od kosztów sądowych, może się domagać ustanowienia adwokata lub radcy prawnego, jeżeli wykaże, że nie ma dostatecznych środków na poniesienie kosztów wynagrodzenia adwokata lub radcy prawnego”.</w:t>
      </w:r>
    </w:p>
    <w:p w:rsidR="007B3567" w:rsidRDefault="007B3567" w:rsidP="00BC64E0">
      <w:pPr>
        <w:spacing w:after="0" w:line="240" w:lineRule="auto"/>
        <w:jc w:val="both"/>
        <w:rPr>
          <w:rFonts w:ascii="Garamond" w:eastAsia="Times New Roman" w:hAnsi="Garamond" w:cs="Times New Roman"/>
          <w:sz w:val="24"/>
          <w:szCs w:val="24"/>
          <w:lang w:eastAsia="pl-PL"/>
        </w:rPr>
      </w:pPr>
    </w:p>
    <w:p w:rsidR="00DE0BB4" w:rsidRPr="00BC64E0" w:rsidRDefault="007B3567" w:rsidP="00BC64E0">
      <w:p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Procedura ustanawiana </w:t>
      </w:r>
      <w:r w:rsidR="00681188">
        <w:rPr>
          <w:rFonts w:ascii="Garamond" w:eastAsia="Times New Roman" w:hAnsi="Garamond" w:cs="Times New Roman"/>
          <w:sz w:val="24"/>
          <w:szCs w:val="24"/>
          <w:lang w:eastAsia="pl-PL"/>
        </w:rPr>
        <w:t xml:space="preserve">radcy prawnego dla osób lub podmiotów opisanych w art. 117 kpc została wskazana w </w:t>
      </w:r>
      <w:r w:rsidR="00DE0BB4" w:rsidRPr="00BC64E0">
        <w:rPr>
          <w:rFonts w:ascii="Garamond" w:eastAsia="Times New Roman" w:hAnsi="Garamond" w:cs="Times New Roman"/>
          <w:sz w:val="24"/>
          <w:szCs w:val="24"/>
          <w:lang w:eastAsia="pl-PL"/>
        </w:rPr>
        <w:t>art.</w:t>
      </w:r>
      <w:r w:rsidR="00DE0BB4" w:rsidRPr="00DE0BB4">
        <w:rPr>
          <w:rFonts w:ascii="Garamond" w:eastAsia="Times New Roman" w:hAnsi="Garamond" w:cs="Times New Roman"/>
          <w:sz w:val="24"/>
          <w:szCs w:val="24"/>
          <w:lang w:eastAsia="pl-PL"/>
        </w:rPr>
        <w:t>117</w:t>
      </w:r>
      <w:r w:rsidR="00DE0BB4" w:rsidRPr="00DE0BB4">
        <w:rPr>
          <w:rFonts w:ascii="Garamond" w:eastAsia="Times New Roman" w:hAnsi="Garamond" w:cs="Times New Roman"/>
          <w:sz w:val="24"/>
          <w:szCs w:val="24"/>
          <w:vertAlign w:val="superscript"/>
          <w:lang w:eastAsia="pl-PL"/>
        </w:rPr>
        <w:t>3</w:t>
      </w:r>
      <w:r>
        <w:rPr>
          <w:rFonts w:ascii="Garamond" w:eastAsia="Times New Roman" w:hAnsi="Garamond" w:cs="Times New Roman"/>
          <w:sz w:val="24"/>
          <w:szCs w:val="24"/>
          <w:vertAlign w:val="superscript"/>
          <w:lang w:eastAsia="pl-PL"/>
        </w:rPr>
        <w:t xml:space="preserve">  </w:t>
      </w:r>
      <w:r>
        <w:rPr>
          <w:rFonts w:ascii="Garamond" w:eastAsia="Times New Roman" w:hAnsi="Garamond" w:cs="Times New Roman"/>
          <w:sz w:val="24"/>
          <w:szCs w:val="24"/>
          <w:lang w:eastAsia="pl-PL"/>
        </w:rPr>
        <w:t xml:space="preserve">oraz </w:t>
      </w:r>
      <w:r w:rsidR="00681188">
        <w:rPr>
          <w:rFonts w:ascii="Garamond" w:eastAsia="Times New Roman" w:hAnsi="Garamond" w:cs="Times New Roman"/>
          <w:sz w:val="24"/>
          <w:szCs w:val="24"/>
          <w:lang w:eastAsia="pl-PL"/>
        </w:rPr>
        <w:t xml:space="preserve"> art. </w:t>
      </w:r>
      <w:r w:rsidR="00DE0BB4" w:rsidRPr="00BC64E0">
        <w:rPr>
          <w:rFonts w:ascii="Garamond" w:eastAsia="Times New Roman" w:hAnsi="Garamond" w:cs="Times New Roman"/>
          <w:sz w:val="24"/>
          <w:szCs w:val="24"/>
          <w:lang w:eastAsia="pl-PL"/>
        </w:rPr>
        <w:t>118 k.p.c.</w:t>
      </w:r>
    </w:p>
    <w:p w:rsidR="00DE0BB4" w:rsidRPr="00BC64E0" w:rsidRDefault="00DE0BB4" w:rsidP="00BC64E0">
      <w:pPr>
        <w:spacing w:after="0" w:line="240" w:lineRule="auto"/>
        <w:jc w:val="both"/>
        <w:rPr>
          <w:rFonts w:ascii="Garamond" w:eastAsia="Times New Roman" w:hAnsi="Garamond" w:cs="Times New Roman"/>
          <w:sz w:val="24"/>
          <w:szCs w:val="24"/>
          <w:lang w:eastAsia="pl-PL"/>
        </w:rPr>
      </w:pPr>
      <w:bookmarkStart w:id="0" w:name="mip43655430"/>
      <w:bookmarkEnd w:id="0"/>
    </w:p>
    <w:p w:rsidR="00DE0BB4" w:rsidRPr="00DE0BB4" w:rsidRDefault="00DE0BB4" w:rsidP="00BC64E0">
      <w:pPr>
        <w:spacing w:after="0" w:line="240" w:lineRule="auto"/>
        <w:jc w:val="both"/>
        <w:rPr>
          <w:rFonts w:ascii="Garamond" w:eastAsia="Times New Roman" w:hAnsi="Garamond" w:cs="Times New Roman"/>
          <w:sz w:val="24"/>
          <w:szCs w:val="24"/>
          <w:lang w:eastAsia="pl-PL"/>
        </w:rPr>
      </w:pPr>
      <w:r w:rsidRPr="00DE0BB4">
        <w:rPr>
          <w:rFonts w:ascii="Garamond" w:eastAsia="Times New Roman" w:hAnsi="Garamond" w:cs="Times New Roman"/>
          <w:sz w:val="24"/>
          <w:szCs w:val="24"/>
          <w:lang w:eastAsia="pl-PL"/>
        </w:rPr>
        <w:t>Art. 117</w:t>
      </w:r>
      <w:r w:rsidRPr="00DE0BB4">
        <w:rPr>
          <w:rFonts w:ascii="Garamond" w:eastAsia="Times New Roman" w:hAnsi="Garamond" w:cs="Times New Roman"/>
          <w:sz w:val="24"/>
          <w:szCs w:val="24"/>
          <w:vertAlign w:val="superscript"/>
          <w:lang w:eastAsia="pl-PL"/>
        </w:rPr>
        <w:t>3</w:t>
      </w:r>
      <w:r w:rsidR="004149F6">
        <w:rPr>
          <w:rFonts w:ascii="Garamond" w:eastAsia="Times New Roman" w:hAnsi="Garamond" w:cs="Times New Roman"/>
          <w:sz w:val="24"/>
          <w:szCs w:val="24"/>
          <w:lang w:eastAsia="pl-PL"/>
        </w:rPr>
        <w:t xml:space="preserve"> k.p.c.</w:t>
      </w:r>
    </w:p>
    <w:p w:rsidR="00DE0BB4" w:rsidRPr="00FF6357" w:rsidRDefault="00DE0BB4" w:rsidP="00BC64E0">
      <w:pPr>
        <w:spacing w:after="0" w:line="240" w:lineRule="auto"/>
        <w:jc w:val="both"/>
        <w:rPr>
          <w:rFonts w:ascii="Garamond" w:eastAsia="Times New Roman" w:hAnsi="Garamond" w:cs="Times New Roman"/>
          <w:sz w:val="28"/>
          <w:szCs w:val="28"/>
          <w:lang w:eastAsia="pl-PL"/>
        </w:rPr>
      </w:pPr>
      <w:bookmarkStart w:id="1" w:name="mip43655431"/>
      <w:bookmarkEnd w:id="1"/>
      <w:r w:rsidRPr="00FF6357">
        <w:rPr>
          <w:rFonts w:ascii="Garamond" w:eastAsia="Times New Roman" w:hAnsi="Garamond" w:cs="Times New Roman"/>
          <w:sz w:val="28"/>
          <w:szCs w:val="28"/>
          <w:lang w:eastAsia="pl-PL"/>
        </w:rPr>
        <w:t>§ 1. O wyznaczenie adwokata lub radcy prawnego sąd zwraca się do właściwej okręgowej rady adwokackiej lub rady okręgowej izby radców prawnych.</w:t>
      </w:r>
    </w:p>
    <w:p w:rsidR="00DE0BB4" w:rsidRPr="00FF6357" w:rsidRDefault="00DE0BB4" w:rsidP="00BC64E0">
      <w:pPr>
        <w:spacing w:after="0" w:line="240" w:lineRule="auto"/>
        <w:jc w:val="both"/>
        <w:rPr>
          <w:rFonts w:ascii="Garamond" w:eastAsia="Times New Roman" w:hAnsi="Garamond" w:cs="Times New Roman"/>
          <w:sz w:val="28"/>
          <w:szCs w:val="28"/>
          <w:lang w:eastAsia="pl-PL"/>
        </w:rPr>
      </w:pPr>
      <w:bookmarkStart w:id="2" w:name="mip43655432"/>
      <w:bookmarkEnd w:id="2"/>
      <w:r w:rsidRPr="00FF6357">
        <w:rPr>
          <w:rFonts w:ascii="Garamond" w:eastAsia="Times New Roman" w:hAnsi="Garamond" w:cs="Times New Roman"/>
          <w:sz w:val="28"/>
          <w:szCs w:val="28"/>
          <w:lang w:eastAsia="pl-PL"/>
        </w:rPr>
        <w:t xml:space="preserve">§ 2. </w:t>
      </w:r>
      <w:r w:rsidRPr="00FF6357">
        <w:rPr>
          <w:rFonts w:ascii="Garamond" w:eastAsia="Times New Roman" w:hAnsi="Garamond" w:cs="Times New Roman"/>
          <w:b/>
          <w:sz w:val="28"/>
          <w:szCs w:val="28"/>
          <w:lang w:eastAsia="pl-PL"/>
        </w:rPr>
        <w:t>Właściwa okręgowa rada adwokacka lub rada okręgowej izby radców prawnych, wyznacza adwokata lub radcę prawnego niezwłocznie, nie później jednak niż w terminie dwóch tygodni, zawiadamiając o tym sąd. W zawiadomieniu właściwa okręgowa rada adwokacka lub rada okręgowej izby radców prawnych wskazuje imię i nazwisko wyznaczonego adwokata lub radcy prawnego oraz jego adres do doręczeń</w:t>
      </w:r>
      <w:r w:rsidRPr="00FF6357">
        <w:rPr>
          <w:rFonts w:ascii="Garamond" w:eastAsia="Times New Roman" w:hAnsi="Garamond" w:cs="Times New Roman"/>
          <w:sz w:val="28"/>
          <w:szCs w:val="28"/>
          <w:lang w:eastAsia="pl-PL"/>
        </w:rPr>
        <w:t>.</w:t>
      </w:r>
    </w:p>
    <w:p w:rsidR="00DE0BB4" w:rsidRPr="00FF6357" w:rsidRDefault="00DE0BB4" w:rsidP="00BC64E0">
      <w:pPr>
        <w:spacing w:after="0" w:line="240" w:lineRule="auto"/>
        <w:jc w:val="both"/>
        <w:rPr>
          <w:rFonts w:ascii="Garamond" w:eastAsia="Times New Roman" w:hAnsi="Garamond" w:cs="Times New Roman"/>
          <w:sz w:val="28"/>
          <w:szCs w:val="28"/>
          <w:lang w:eastAsia="pl-PL"/>
        </w:rPr>
      </w:pPr>
      <w:bookmarkStart w:id="3" w:name="mip43655433"/>
      <w:bookmarkEnd w:id="3"/>
      <w:r w:rsidRPr="00FF6357">
        <w:rPr>
          <w:rFonts w:ascii="Garamond" w:eastAsia="Times New Roman" w:hAnsi="Garamond" w:cs="Times New Roman"/>
          <w:sz w:val="28"/>
          <w:szCs w:val="28"/>
          <w:lang w:eastAsia="pl-PL"/>
        </w:rPr>
        <w:t>§ 3. Jeżeli strona we wniosku wskazała adwokata lub radcę prawnego, właściwa okręgowa rada adwokacka lub rada okręgowej izby radców prawnych, w miarę możliwości i w porozumieniu ze wskazanym adwokatem lub radcą prawnym, wyznaczy adwokata lub radcę prawnego wskazanego przez stronę.</w:t>
      </w:r>
    </w:p>
    <w:p w:rsidR="00DE0BB4" w:rsidRPr="00FF6357" w:rsidRDefault="00DE0BB4" w:rsidP="00BC64E0">
      <w:pPr>
        <w:spacing w:after="0" w:line="240" w:lineRule="auto"/>
        <w:jc w:val="both"/>
        <w:rPr>
          <w:rFonts w:ascii="Garamond" w:eastAsia="Times New Roman" w:hAnsi="Garamond" w:cs="Times New Roman"/>
          <w:sz w:val="28"/>
          <w:szCs w:val="28"/>
          <w:lang w:eastAsia="pl-PL"/>
        </w:rPr>
      </w:pPr>
      <w:bookmarkStart w:id="4" w:name="mip43655434"/>
      <w:bookmarkEnd w:id="4"/>
    </w:p>
    <w:p w:rsidR="004149F6" w:rsidRDefault="004149F6" w:rsidP="004149F6">
      <w:pPr>
        <w:spacing w:after="0" w:line="240" w:lineRule="auto"/>
        <w:jc w:val="both"/>
        <w:rPr>
          <w:rFonts w:ascii="Garamond" w:eastAsia="Times New Roman" w:hAnsi="Garamond" w:cs="Times New Roman"/>
          <w:sz w:val="24"/>
          <w:szCs w:val="24"/>
          <w:lang w:eastAsia="pl-PL"/>
        </w:rPr>
      </w:pPr>
    </w:p>
    <w:p w:rsidR="004149F6" w:rsidRPr="00FF6357" w:rsidRDefault="004149F6" w:rsidP="004149F6">
      <w:pPr>
        <w:spacing w:after="0" w:line="240" w:lineRule="auto"/>
        <w:jc w:val="both"/>
        <w:rPr>
          <w:rFonts w:ascii="Garamond" w:eastAsia="Times New Roman" w:hAnsi="Garamond" w:cs="Times New Roman"/>
          <w:b/>
          <w:sz w:val="24"/>
          <w:szCs w:val="24"/>
          <w:lang w:eastAsia="pl-PL"/>
        </w:rPr>
      </w:pPr>
      <w:r w:rsidRPr="00FF6357">
        <w:rPr>
          <w:rFonts w:ascii="Garamond" w:eastAsia="Times New Roman" w:hAnsi="Garamond" w:cs="Times New Roman"/>
          <w:b/>
          <w:sz w:val="24"/>
          <w:szCs w:val="24"/>
          <w:lang w:eastAsia="pl-PL"/>
        </w:rPr>
        <w:t>Analiza:</w:t>
      </w:r>
    </w:p>
    <w:p w:rsidR="004149F6" w:rsidRDefault="004149F6" w:rsidP="004149F6">
      <w:pPr>
        <w:spacing w:after="0" w:line="240" w:lineRule="auto"/>
        <w:jc w:val="both"/>
        <w:rPr>
          <w:rFonts w:ascii="Garamond" w:eastAsia="Times New Roman" w:hAnsi="Garamond" w:cs="Times New Roman"/>
          <w:sz w:val="24"/>
          <w:szCs w:val="24"/>
          <w:lang w:eastAsia="pl-PL"/>
        </w:rPr>
      </w:pPr>
    </w:p>
    <w:p w:rsidR="004149F6" w:rsidRPr="00DE0BB4" w:rsidRDefault="004149F6" w:rsidP="004149F6">
      <w:p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 zakresie ustanawiania pełnomocnika z urzędu</w:t>
      </w:r>
      <w:r w:rsidR="00FF6357">
        <w:rPr>
          <w:rFonts w:ascii="Garamond" w:eastAsia="Times New Roman" w:hAnsi="Garamond" w:cs="Times New Roman"/>
          <w:sz w:val="24"/>
          <w:szCs w:val="24"/>
          <w:lang w:eastAsia="pl-PL"/>
        </w:rPr>
        <w:t xml:space="preserve"> należy wskazać, że</w:t>
      </w:r>
      <w:r>
        <w:rPr>
          <w:rFonts w:ascii="Garamond" w:eastAsia="Times New Roman" w:hAnsi="Garamond" w:cs="Times New Roman"/>
          <w:sz w:val="24"/>
          <w:szCs w:val="24"/>
          <w:lang w:eastAsia="pl-PL"/>
        </w:rPr>
        <w:t xml:space="preserve"> </w:t>
      </w:r>
      <w:r w:rsidRPr="00DE0BB4">
        <w:rPr>
          <w:rFonts w:ascii="Garamond" w:eastAsia="Times New Roman" w:hAnsi="Garamond" w:cs="Times New Roman"/>
          <w:sz w:val="24"/>
          <w:szCs w:val="24"/>
          <w:lang w:eastAsia="pl-PL"/>
        </w:rPr>
        <w:t>Art. 117</w:t>
      </w:r>
      <w:r w:rsidRPr="00DE0BB4">
        <w:rPr>
          <w:rFonts w:ascii="Garamond" w:eastAsia="Times New Roman" w:hAnsi="Garamond" w:cs="Times New Roman"/>
          <w:sz w:val="24"/>
          <w:szCs w:val="24"/>
          <w:vertAlign w:val="superscript"/>
          <w:lang w:eastAsia="pl-PL"/>
        </w:rPr>
        <w:t>3</w:t>
      </w:r>
      <w:r>
        <w:rPr>
          <w:rFonts w:ascii="Garamond" w:eastAsia="Times New Roman" w:hAnsi="Garamond" w:cs="Times New Roman"/>
          <w:sz w:val="24"/>
          <w:szCs w:val="24"/>
          <w:lang w:eastAsia="pl-PL"/>
        </w:rPr>
        <w:t xml:space="preserve"> k.p.c.</w:t>
      </w:r>
      <w:r>
        <w:rPr>
          <w:rFonts w:ascii="Garamond" w:eastAsia="Times New Roman" w:hAnsi="Garamond" w:cs="Times New Roman"/>
          <w:sz w:val="24"/>
          <w:szCs w:val="24"/>
          <w:lang w:eastAsia="pl-PL"/>
        </w:rPr>
        <w:t xml:space="preserve"> w sposób szczegółowy określa procedurę ustanawiania pełnomocnika.</w:t>
      </w:r>
    </w:p>
    <w:p w:rsidR="00DE0BB4" w:rsidRPr="004149F6" w:rsidRDefault="00FF6357" w:rsidP="004149F6">
      <w:pPr>
        <w:jc w:val="both"/>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xml:space="preserve">Przepis zatem stanowi o </w:t>
      </w:r>
      <w:r w:rsidR="00487AF1" w:rsidRPr="004149F6">
        <w:rPr>
          <w:rFonts w:ascii="Garamond" w:eastAsia="Times New Roman" w:hAnsi="Garamond" w:cs="Times New Roman"/>
          <w:b/>
          <w:sz w:val="24"/>
          <w:szCs w:val="24"/>
          <w:lang w:eastAsia="pl-PL"/>
        </w:rPr>
        <w:t>wyznaczaniu adwokata lub radcy prawnego z urzędu przez właściwą okręgową izbę adwokacką lub radcowską</w:t>
      </w:r>
      <w:r w:rsidR="00BC64E0" w:rsidRPr="004149F6">
        <w:rPr>
          <w:rFonts w:ascii="Garamond" w:eastAsia="Times New Roman" w:hAnsi="Garamond" w:cs="Times New Roman"/>
          <w:b/>
          <w:sz w:val="24"/>
          <w:szCs w:val="24"/>
          <w:lang w:eastAsia="pl-PL"/>
        </w:rPr>
        <w:t xml:space="preserve"> i dotyczy ogólnie rzecz ujmując sytuacji ustanowienia pełnomocnika w sytuacji gdy strona nie może ponieść kosztów wynagrodzenia radcy prawnego </w:t>
      </w:r>
      <w:r w:rsidR="00827C1B">
        <w:rPr>
          <w:rFonts w:ascii="Garamond" w:eastAsia="Times New Roman" w:hAnsi="Garamond" w:cs="Times New Roman"/>
          <w:sz w:val="24"/>
          <w:szCs w:val="24"/>
          <w:vertAlign w:val="superscript"/>
          <w:lang w:eastAsia="pl-PL"/>
        </w:rPr>
        <w:t xml:space="preserve">  </w:t>
      </w:r>
    </w:p>
    <w:p w:rsidR="00DE0BB4" w:rsidRPr="004149F6" w:rsidRDefault="00565271" w:rsidP="00BC64E0">
      <w:pPr>
        <w:pStyle w:val="Zwykytekst"/>
        <w:jc w:val="both"/>
        <w:rPr>
          <w:rFonts w:ascii="Garamond" w:hAnsi="Garamond"/>
          <w:b/>
          <w:sz w:val="24"/>
          <w:szCs w:val="24"/>
        </w:rPr>
      </w:pPr>
      <w:r w:rsidRPr="00BC64E0">
        <w:rPr>
          <w:rFonts w:ascii="Garamond" w:hAnsi="Garamond"/>
          <w:sz w:val="24"/>
          <w:szCs w:val="24"/>
        </w:rPr>
        <w:t xml:space="preserve">Do właściwej okręgowej rady adwokackiej lub rady okręgowej izby radców prawnych sąd zwraca się w formie doręczenia tym organom postanowienia o ustanowieniu adwokata lub radcy prawnego. </w:t>
      </w:r>
      <w:r w:rsidRPr="004149F6">
        <w:rPr>
          <w:rFonts w:ascii="Garamond" w:hAnsi="Garamond"/>
          <w:b/>
          <w:sz w:val="24"/>
          <w:szCs w:val="24"/>
        </w:rPr>
        <w:t>Sąd bowiem decyduje o ustanowieniu adwokata lub radcy prawnego, natomiast konkretnego adwokata lub radcy prawnego (osobę) do reprezentowania strony wskazuje okręgowa rada adwokacka lub rada okręgowa izby radców prawnych (§ 1).</w:t>
      </w:r>
    </w:p>
    <w:p w:rsidR="00DE0BB4" w:rsidRPr="00BC64E0" w:rsidRDefault="00DE0BB4" w:rsidP="00BC64E0">
      <w:pPr>
        <w:pStyle w:val="Zwykytekst"/>
        <w:jc w:val="both"/>
        <w:rPr>
          <w:rFonts w:ascii="Garamond" w:hAnsi="Garamond"/>
          <w:sz w:val="24"/>
          <w:szCs w:val="24"/>
        </w:rPr>
      </w:pPr>
    </w:p>
    <w:p w:rsidR="00DE0BB4" w:rsidRPr="00BC64E0" w:rsidRDefault="00E02210" w:rsidP="00BC64E0">
      <w:pPr>
        <w:pStyle w:val="Zwykytekst"/>
        <w:jc w:val="both"/>
        <w:rPr>
          <w:rFonts w:ascii="Garamond" w:hAnsi="Garamond"/>
          <w:sz w:val="24"/>
          <w:szCs w:val="24"/>
        </w:rPr>
      </w:pPr>
      <w:r>
        <w:rPr>
          <w:rFonts w:ascii="Garamond" w:hAnsi="Garamond"/>
          <w:b/>
          <w:bCs/>
          <w:sz w:val="24"/>
          <w:szCs w:val="24"/>
        </w:rPr>
        <w:t>„</w:t>
      </w:r>
      <w:r w:rsidR="00565271" w:rsidRPr="00BC64E0">
        <w:rPr>
          <w:rFonts w:ascii="Garamond" w:hAnsi="Garamond"/>
          <w:sz w:val="24"/>
          <w:szCs w:val="24"/>
        </w:rPr>
        <w:t xml:space="preserve">Postanowienie o ustanowieniu adwokata lub radcy prawnego dla strony procesowej w zakresie swych skutków jest </w:t>
      </w:r>
      <w:r w:rsidR="00565271" w:rsidRPr="00BC64E0">
        <w:rPr>
          <w:rFonts w:ascii="Garamond" w:hAnsi="Garamond"/>
          <w:b/>
          <w:bCs/>
          <w:sz w:val="24"/>
          <w:szCs w:val="24"/>
        </w:rPr>
        <w:t>równoważne</w:t>
      </w:r>
      <w:r w:rsidR="00565271" w:rsidRPr="00BC64E0">
        <w:rPr>
          <w:rFonts w:ascii="Garamond" w:hAnsi="Garamond"/>
          <w:sz w:val="24"/>
          <w:szCs w:val="24"/>
        </w:rPr>
        <w:t xml:space="preserve"> z udzieleniem pełnomocnictwa procesowego. Pełnomocnictwo to powstaje z chwilą uprawomocnienia się tego postanowienia, lecz do czasu wyznaczenia przez radę adwokacką lub okręgową izbę radców prawnych konkretnego adwokata (radcy prawnego) ma ono w istocie charakter </w:t>
      </w:r>
      <w:r w:rsidR="00565271" w:rsidRPr="00BC64E0">
        <w:rPr>
          <w:rFonts w:ascii="Garamond" w:hAnsi="Garamond"/>
          <w:b/>
          <w:bCs/>
          <w:sz w:val="24"/>
          <w:szCs w:val="24"/>
        </w:rPr>
        <w:t>blankietowy</w:t>
      </w:r>
      <w:r w:rsidR="00565271" w:rsidRPr="00BC64E0">
        <w:rPr>
          <w:rFonts w:ascii="Garamond" w:hAnsi="Garamond"/>
          <w:sz w:val="24"/>
          <w:szCs w:val="24"/>
        </w:rPr>
        <w:t xml:space="preserve">, mimo że nasze ustawodawstwo nie zna tego rodzaju </w:t>
      </w:r>
      <w:r w:rsidR="00FF6357">
        <w:rPr>
          <w:rFonts w:ascii="Garamond" w:hAnsi="Garamond"/>
          <w:sz w:val="24"/>
          <w:szCs w:val="24"/>
        </w:rPr>
        <w:t>pełnomocnictwa</w:t>
      </w:r>
      <w:r w:rsidR="00565271" w:rsidRPr="00BC64E0">
        <w:rPr>
          <w:rFonts w:ascii="Garamond" w:hAnsi="Garamond"/>
          <w:sz w:val="24"/>
          <w:szCs w:val="24"/>
        </w:rPr>
        <w:t>.</w:t>
      </w:r>
      <w:r>
        <w:rPr>
          <w:rFonts w:ascii="Garamond" w:hAnsi="Garamond"/>
          <w:sz w:val="24"/>
          <w:szCs w:val="24"/>
        </w:rPr>
        <w:t>”</w:t>
      </w:r>
      <w:r w:rsidR="00565271" w:rsidRPr="00BC64E0">
        <w:rPr>
          <w:rStyle w:val="Odwoanieprzypisudolnego"/>
          <w:rFonts w:ascii="Garamond" w:hAnsi="Garamond"/>
          <w:sz w:val="24"/>
          <w:szCs w:val="24"/>
        </w:rPr>
        <w:footnoteReference w:id="1"/>
      </w:r>
    </w:p>
    <w:p w:rsidR="00283FF5" w:rsidRPr="00BC64E0" w:rsidRDefault="00283FF5" w:rsidP="00BC64E0">
      <w:pPr>
        <w:pStyle w:val="Zwykytekst"/>
        <w:jc w:val="both"/>
        <w:rPr>
          <w:rFonts w:ascii="Garamond" w:hAnsi="Garamond"/>
          <w:sz w:val="24"/>
          <w:szCs w:val="24"/>
        </w:rPr>
      </w:pPr>
    </w:p>
    <w:p w:rsidR="004149F6" w:rsidRDefault="004149F6" w:rsidP="00BC64E0">
      <w:pPr>
        <w:pStyle w:val="Zwykytekst"/>
        <w:jc w:val="both"/>
        <w:rPr>
          <w:rFonts w:ascii="Garamond" w:hAnsi="Garamond"/>
          <w:sz w:val="24"/>
          <w:szCs w:val="24"/>
        </w:rPr>
      </w:pPr>
    </w:p>
    <w:p w:rsidR="009373EF" w:rsidRDefault="009373EF" w:rsidP="004149F6">
      <w:pPr>
        <w:pStyle w:val="Zwykytekst"/>
        <w:jc w:val="both"/>
        <w:rPr>
          <w:rFonts w:ascii="Garamond" w:hAnsi="Garamond"/>
          <w:sz w:val="24"/>
          <w:szCs w:val="24"/>
        </w:rPr>
      </w:pPr>
    </w:p>
    <w:p w:rsidR="009373EF" w:rsidRDefault="009373EF" w:rsidP="004149F6">
      <w:pPr>
        <w:pStyle w:val="Zwykytekst"/>
        <w:jc w:val="both"/>
        <w:rPr>
          <w:rFonts w:ascii="Garamond" w:hAnsi="Garamond"/>
          <w:sz w:val="24"/>
          <w:szCs w:val="24"/>
        </w:rPr>
      </w:pPr>
    </w:p>
    <w:p w:rsidR="004E531D" w:rsidRDefault="004E531D" w:rsidP="004149F6">
      <w:pPr>
        <w:pStyle w:val="Zwykytekst"/>
        <w:jc w:val="both"/>
        <w:rPr>
          <w:rFonts w:ascii="Garamond" w:hAnsi="Garamond"/>
          <w:sz w:val="24"/>
          <w:szCs w:val="24"/>
        </w:rPr>
      </w:pPr>
      <w:r>
        <w:rPr>
          <w:rFonts w:ascii="Garamond" w:hAnsi="Garamond"/>
          <w:sz w:val="24"/>
          <w:szCs w:val="24"/>
        </w:rPr>
        <w:t xml:space="preserve">Przepisy dotyczące ustanawiania kuratorów, w tym ustanawiania </w:t>
      </w:r>
      <w:r w:rsidR="009373EF">
        <w:rPr>
          <w:rFonts w:ascii="Garamond" w:hAnsi="Garamond"/>
          <w:sz w:val="24"/>
          <w:szCs w:val="24"/>
        </w:rPr>
        <w:t xml:space="preserve">ich z urzędu nie przewidują żadnej dodatkowej szczególnej procedury analogicznie jak to czynią przepisy dotyczące </w:t>
      </w:r>
      <w:r>
        <w:rPr>
          <w:rFonts w:ascii="Garamond" w:hAnsi="Garamond"/>
          <w:sz w:val="24"/>
          <w:szCs w:val="24"/>
        </w:rPr>
        <w:t xml:space="preserve">ustanawiania i </w:t>
      </w:r>
      <w:r w:rsidR="009373EF">
        <w:rPr>
          <w:rFonts w:ascii="Garamond" w:hAnsi="Garamond"/>
          <w:sz w:val="24"/>
          <w:szCs w:val="24"/>
        </w:rPr>
        <w:t xml:space="preserve">wyznaczania pełnomocników z urzędu. </w:t>
      </w:r>
    </w:p>
    <w:p w:rsidR="004E531D" w:rsidRDefault="004E531D" w:rsidP="004149F6">
      <w:pPr>
        <w:pStyle w:val="Zwykytekst"/>
        <w:jc w:val="both"/>
        <w:rPr>
          <w:rFonts w:ascii="Garamond" w:hAnsi="Garamond"/>
          <w:sz w:val="24"/>
          <w:szCs w:val="24"/>
        </w:rPr>
      </w:pPr>
    </w:p>
    <w:p w:rsidR="004C2EE8" w:rsidRDefault="004E531D" w:rsidP="004C2EE8">
      <w:pPr>
        <w:pStyle w:val="Zwykytekst"/>
        <w:jc w:val="both"/>
        <w:rPr>
          <w:rFonts w:ascii="Garamond" w:eastAsia="Times New Roman" w:hAnsi="Garamond" w:cs="Times New Roman"/>
          <w:sz w:val="24"/>
          <w:szCs w:val="24"/>
          <w:lang w:eastAsia="pl-PL"/>
        </w:rPr>
      </w:pPr>
      <w:r>
        <w:rPr>
          <w:rFonts w:ascii="Garamond" w:hAnsi="Garamond"/>
          <w:sz w:val="24"/>
          <w:szCs w:val="24"/>
        </w:rPr>
        <w:t xml:space="preserve">Sąd Okręgowy w Kaliszu zastosował w stosunku do ustanawiania kuratora z urzędu , procedurę w drodze analogii opisaną w </w:t>
      </w:r>
      <w:r w:rsidRPr="00DE0BB4">
        <w:rPr>
          <w:rFonts w:ascii="Garamond" w:eastAsia="Times New Roman" w:hAnsi="Garamond" w:cs="Times New Roman"/>
          <w:sz w:val="24"/>
          <w:szCs w:val="24"/>
          <w:lang w:eastAsia="pl-PL"/>
        </w:rPr>
        <w:t>Art. 117</w:t>
      </w:r>
      <w:r w:rsidRPr="00DE0BB4">
        <w:rPr>
          <w:rFonts w:ascii="Garamond" w:eastAsia="Times New Roman" w:hAnsi="Garamond" w:cs="Times New Roman"/>
          <w:sz w:val="24"/>
          <w:szCs w:val="24"/>
          <w:vertAlign w:val="superscript"/>
          <w:lang w:eastAsia="pl-PL"/>
        </w:rPr>
        <w:t>3</w:t>
      </w:r>
      <w:r>
        <w:rPr>
          <w:rFonts w:ascii="Garamond" w:eastAsia="Times New Roman" w:hAnsi="Garamond" w:cs="Times New Roman"/>
          <w:sz w:val="24"/>
          <w:szCs w:val="24"/>
          <w:lang w:eastAsia="pl-PL"/>
        </w:rPr>
        <w:t xml:space="preserve"> k.p.c.</w:t>
      </w:r>
      <w:r>
        <w:rPr>
          <w:rFonts w:ascii="Garamond" w:eastAsia="Times New Roman" w:hAnsi="Garamond" w:cs="Times New Roman"/>
          <w:sz w:val="24"/>
          <w:szCs w:val="24"/>
          <w:lang w:eastAsia="pl-PL"/>
        </w:rPr>
        <w:t xml:space="preserve"> czyli taką jak dla wyznaczania pełnomocników z urzędu. Ponieważ procesowe skutki nieważnego ustanowienia kuratora mogą okazać się zasadnicze dla toczącego się postępowania, dlatego w</w:t>
      </w:r>
      <w:r w:rsidR="004C2EE8">
        <w:rPr>
          <w:rFonts w:ascii="Garamond" w:eastAsia="Times New Roman" w:hAnsi="Garamond" w:cs="Times New Roman"/>
          <w:sz w:val="24"/>
          <w:szCs w:val="24"/>
          <w:lang w:eastAsia="pl-PL"/>
        </w:rPr>
        <w:t xml:space="preserve"> odpowiedzi do </w:t>
      </w:r>
      <w:r>
        <w:rPr>
          <w:rFonts w:ascii="Garamond" w:eastAsia="Times New Roman" w:hAnsi="Garamond" w:cs="Times New Roman"/>
          <w:sz w:val="24"/>
          <w:szCs w:val="24"/>
          <w:lang w:eastAsia="pl-PL"/>
        </w:rPr>
        <w:t>Sądu Okręgowego w Kaliszu V Wydział Pracy i Ubezpieczeń Społecznych - sygn. akt VU 1157/14 – w oce</w:t>
      </w:r>
      <w:r w:rsidR="004C2EE8">
        <w:rPr>
          <w:rFonts w:ascii="Garamond" w:eastAsia="Times New Roman" w:hAnsi="Garamond" w:cs="Times New Roman"/>
          <w:sz w:val="24"/>
          <w:szCs w:val="24"/>
          <w:lang w:eastAsia="pl-PL"/>
        </w:rPr>
        <w:t>nie Komisji do spraw Legislacji, należałoby wskazać , że:</w:t>
      </w:r>
    </w:p>
    <w:p w:rsidR="004C2EE8" w:rsidRDefault="004C2EE8" w:rsidP="004C2EE8">
      <w:pPr>
        <w:pStyle w:val="Zwykytekst"/>
        <w:jc w:val="both"/>
        <w:rPr>
          <w:rFonts w:ascii="Garamond" w:eastAsia="Times New Roman" w:hAnsi="Garamond" w:cs="Times New Roman"/>
          <w:sz w:val="28"/>
          <w:szCs w:val="28"/>
          <w:lang w:eastAsia="pl-PL"/>
        </w:rPr>
      </w:pPr>
    </w:p>
    <w:p w:rsidR="004C2EE8" w:rsidRDefault="004C2EE8" w:rsidP="004C2EE8">
      <w:pPr>
        <w:spacing w:after="0" w:line="240" w:lineRule="auto"/>
        <w:jc w:val="both"/>
        <w:rPr>
          <w:rFonts w:ascii="Garamond" w:hAnsi="Garamond"/>
          <w:sz w:val="28"/>
          <w:szCs w:val="28"/>
        </w:rPr>
      </w:pPr>
      <w:r w:rsidRPr="00FF6357">
        <w:rPr>
          <w:rFonts w:ascii="Garamond" w:eastAsia="Times New Roman" w:hAnsi="Garamond" w:cs="Times New Roman"/>
          <w:sz w:val="28"/>
          <w:szCs w:val="28"/>
          <w:lang w:eastAsia="pl-PL"/>
        </w:rPr>
        <w:t xml:space="preserve"> „W związku z pismem Sądu Okręgowego w Kaliszu V Wydział Pracy i Ubezpieczeń Społecznych z dnia 24 września 2018 roku – sygn.. akt VU 1157/14 – </w:t>
      </w:r>
      <w:r w:rsidRPr="00FF6357">
        <w:rPr>
          <w:rFonts w:ascii="Garamond" w:eastAsia="Times New Roman" w:hAnsi="Garamond" w:cs="Times New Roman"/>
          <w:b/>
          <w:sz w:val="28"/>
          <w:szCs w:val="28"/>
          <w:lang w:eastAsia="pl-PL"/>
        </w:rPr>
        <w:t xml:space="preserve">w celu ustanowienia przez Sąd </w:t>
      </w:r>
      <w:r w:rsidRPr="00FF6357">
        <w:rPr>
          <w:rFonts w:ascii="Garamond" w:eastAsia="Times New Roman" w:hAnsi="Garamond" w:cs="Times New Roman"/>
          <w:sz w:val="28"/>
          <w:szCs w:val="28"/>
          <w:lang w:eastAsia="pl-PL"/>
        </w:rPr>
        <w:t xml:space="preserve">kuratora z urzędu stosowanie do </w:t>
      </w:r>
      <w:r w:rsidRPr="00FF6357">
        <w:rPr>
          <w:rFonts w:ascii="Garamond" w:hAnsi="Garamond"/>
          <w:sz w:val="28"/>
          <w:szCs w:val="28"/>
        </w:rPr>
        <w:t>przepisów</w:t>
      </w:r>
      <w:r w:rsidRPr="00FF6357">
        <w:rPr>
          <w:rFonts w:ascii="Garamond" w:hAnsi="Garamond"/>
          <w:sz w:val="28"/>
          <w:szCs w:val="28"/>
        </w:rPr>
        <w:t xml:space="preserve"> Art. 69 § 1 zd. pierwsze k.p.c. </w:t>
      </w:r>
      <w:r w:rsidRPr="00FF6357">
        <w:rPr>
          <w:rFonts w:ascii="Garamond" w:hAnsi="Garamond"/>
          <w:sz w:val="28"/>
          <w:szCs w:val="28"/>
        </w:rPr>
        <w:t xml:space="preserve"> w związku z </w:t>
      </w:r>
      <w:r w:rsidRPr="00FF6357">
        <w:rPr>
          <w:rFonts w:ascii="Garamond" w:hAnsi="Garamond"/>
          <w:sz w:val="28"/>
          <w:szCs w:val="28"/>
        </w:rPr>
        <w:t xml:space="preserve">Art. 460  § 2 </w:t>
      </w:r>
      <w:r w:rsidRPr="00FF6357">
        <w:rPr>
          <w:rFonts w:ascii="Garamond" w:hAnsi="Garamond"/>
          <w:sz w:val="28"/>
          <w:szCs w:val="28"/>
        </w:rPr>
        <w:t xml:space="preserve">k.p.c.,  Okręgowa Izba Radców Prawnych w Poznaniu wskazuje radcę prawnego _______ członka Okręgowej Izby Radców Prawnych w Poznaniu z terenu działania Sądu Okręgowego w Kaliszu na kandydata na kuratora wyznaczonego z urzędu </w:t>
      </w:r>
      <w:r w:rsidR="00FF6357">
        <w:rPr>
          <w:rFonts w:ascii="Garamond" w:hAnsi="Garamond"/>
          <w:sz w:val="28"/>
          <w:szCs w:val="28"/>
        </w:rPr>
        <w:t xml:space="preserve">przez Sąd </w:t>
      </w:r>
      <w:r w:rsidRPr="00FF6357">
        <w:rPr>
          <w:rFonts w:ascii="Garamond" w:hAnsi="Garamond"/>
          <w:sz w:val="28"/>
          <w:szCs w:val="28"/>
        </w:rPr>
        <w:t xml:space="preserve">dla Royal spółka z o.o. . Ponieważ procedura wskazana w </w:t>
      </w:r>
      <w:r w:rsidRPr="00FF6357">
        <w:rPr>
          <w:rFonts w:ascii="Garamond" w:eastAsia="Times New Roman" w:hAnsi="Garamond" w:cs="Times New Roman"/>
          <w:sz w:val="28"/>
          <w:szCs w:val="28"/>
          <w:lang w:eastAsia="pl-PL"/>
        </w:rPr>
        <w:t>Art. 117</w:t>
      </w:r>
      <w:r w:rsidRPr="00FF6357">
        <w:rPr>
          <w:rFonts w:ascii="Garamond" w:eastAsia="Times New Roman" w:hAnsi="Garamond" w:cs="Times New Roman"/>
          <w:sz w:val="28"/>
          <w:szCs w:val="28"/>
          <w:vertAlign w:val="superscript"/>
          <w:lang w:eastAsia="pl-PL"/>
        </w:rPr>
        <w:t>3</w:t>
      </w:r>
      <w:r w:rsidRPr="00FF6357">
        <w:rPr>
          <w:rFonts w:ascii="Garamond" w:eastAsia="Times New Roman" w:hAnsi="Garamond" w:cs="Times New Roman"/>
          <w:sz w:val="28"/>
          <w:szCs w:val="28"/>
          <w:lang w:eastAsia="pl-PL"/>
        </w:rPr>
        <w:t xml:space="preserve"> § 1</w:t>
      </w:r>
      <w:r w:rsidRPr="00FF6357">
        <w:rPr>
          <w:rFonts w:ascii="Garamond" w:eastAsia="Times New Roman" w:hAnsi="Garamond" w:cs="Times New Roman"/>
          <w:sz w:val="28"/>
          <w:szCs w:val="28"/>
          <w:lang w:eastAsia="pl-PL"/>
        </w:rPr>
        <w:t xml:space="preserve"> i </w:t>
      </w:r>
      <w:r w:rsidRPr="00FF6357">
        <w:rPr>
          <w:rFonts w:ascii="Garamond" w:eastAsia="Times New Roman" w:hAnsi="Garamond" w:cs="Times New Roman"/>
          <w:sz w:val="28"/>
          <w:szCs w:val="28"/>
          <w:lang w:eastAsia="pl-PL"/>
        </w:rPr>
        <w:t xml:space="preserve">§ </w:t>
      </w:r>
      <w:r w:rsidRPr="00FF6357">
        <w:rPr>
          <w:rFonts w:ascii="Garamond" w:eastAsia="Times New Roman" w:hAnsi="Garamond" w:cs="Times New Roman"/>
          <w:sz w:val="28"/>
          <w:szCs w:val="28"/>
          <w:lang w:eastAsia="pl-PL"/>
        </w:rPr>
        <w:t xml:space="preserve">2 </w:t>
      </w:r>
      <w:r w:rsidRPr="00FF6357">
        <w:rPr>
          <w:rFonts w:ascii="Garamond" w:eastAsia="Times New Roman" w:hAnsi="Garamond" w:cs="Times New Roman"/>
          <w:sz w:val="28"/>
          <w:szCs w:val="28"/>
          <w:lang w:eastAsia="pl-PL"/>
        </w:rPr>
        <w:t>k.p.c.</w:t>
      </w:r>
      <w:r w:rsidRPr="00FF6357">
        <w:rPr>
          <w:rFonts w:ascii="Garamond" w:eastAsia="Times New Roman" w:hAnsi="Garamond" w:cs="Times New Roman"/>
          <w:sz w:val="28"/>
          <w:szCs w:val="28"/>
          <w:lang w:eastAsia="pl-PL"/>
        </w:rPr>
        <w:t xml:space="preserve"> dotyczy wyznaczania przez samorząd pełnomocników w sytuacjach wskazanych w Art. 117 k.p.c. , podczas gdy w niniejszej sprawie konieczne jest ustano</w:t>
      </w:r>
      <w:r w:rsidR="00FF6357" w:rsidRPr="00FF6357">
        <w:rPr>
          <w:rFonts w:ascii="Garamond" w:eastAsia="Times New Roman" w:hAnsi="Garamond" w:cs="Times New Roman"/>
          <w:sz w:val="28"/>
          <w:szCs w:val="28"/>
          <w:lang w:eastAsia="pl-PL"/>
        </w:rPr>
        <w:t xml:space="preserve">wienie kuratora dla podmiotu nieposiadającego organów, dlatego ustanowienie wskazanego z imienia i nazwiska przez </w:t>
      </w:r>
      <w:r w:rsidR="00FF6357">
        <w:rPr>
          <w:rFonts w:ascii="Garamond" w:eastAsia="Times New Roman" w:hAnsi="Garamond" w:cs="Times New Roman"/>
          <w:sz w:val="28"/>
          <w:szCs w:val="28"/>
          <w:lang w:eastAsia="pl-PL"/>
        </w:rPr>
        <w:t xml:space="preserve">naszą </w:t>
      </w:r>
      <w:r w:rsidR="00FF6357" w:rsidRPr="00FF6357">
        <w:rPr>
          <w:rFonts w:ascii="Garamond" w:eastAsia="Times New Roman" w:hAnsi="Garamond" w:cs="Times New Roman"/>
          <w:sz w:val="28"/>
          <w:szCs w:val="28"/>
          <w:lang w:eastAsia="pl-PL"/>
        </w:rPr>
        <w:t xml:space="preserve">Izbę kuratora winno nastąpić przez Sąd Okręgowy w Kaliszu </w:t>
      </w:r>
      <w:r w:rsidRPr="00FF6357">
        <w:rPr>
          <w:rFonts w:ascii="Garamond" w:eastAsia="Times New Roman" w:hAnsi="Garamond" w:cs="Times New Roman"/>
          <w:sz w:val="28"/>
          <w:szCs w:val="28"/>
          <w:lang w:eastAsia="pl-PL"/>
        </w:rPr>
        <w:t xml:space="preserve"> </w:t>
      </w:r>
      <w:r w:rsidR="00FF6357" w:rsidRPr="00FF6357">
        <w:rPr>
          <w:rFonts w:ascii="Garamond" w:hAnsi="Garamond"/>
          <w:sz w:val="28"/>
          <w:szCs w:val="28"/>
        </w:rPr>
        <w:t>Zgodnie z Art. 69 § 1 zd. pierwsze k.p.c.</w:t>
      </w:r>
      <w:r w:rsidR="00FF6357" w:rsidRPr="00FF6357">
        <w:rPr>
          <w:rFonts w:ascii="Garamond" w:hAnsi="Garamond"/>
          <w:sz w:val="28"/>
          <w:szCs w:val="28"/>
        </w:rPr>
        <w:t xml:space="preserve"> .”.</w:t>
      </w:r>
    </w:p>
    <w:p w:rsidR="00FF6357" w:rsidRDefault="00FF6357" w:rsidP="004C2EE8">
      <w:pPr>
        <w:spacing w:after="0" w:line="240" w:lineRule="auto"/>
        <w:jc w:val="both"/>
        <w:rPr>
          <w:rFonts w:ascii="Garamond" w:hAnsi="Garamond"/>
          <w:sz w:val="28"/>
          <w:szCs w:val="28"/>
        </w:rPr>
      </w:pPr>
    </w:p>
    <w:p w:rsidR="00FF6357" w:rsidRDefault="00FF6357" w:rsidP="004C2EE8">
      <w:pPr>
        <w:spacing w:after="0" w:line="240" w:lineRule="auto"/>
        <w:jc w:val="both"/>
        <w:rPr>
          <w:rFonts w:ascii="Garamond" w:hAnsi="Garamond"/>
          <w:sz w:val="28"/>
          <w:szCs w:val="28"/>
        </w:rPr>
      </w:pPr>
    </w:p>
    <w:p w:rsidR="00FF6357" w:rsidRDefault="00FF6357" w:rsidP="004C2EE8">
      <w:pPr>
        <w:spacing w:after="0" w:line="240" w:lineRule="auto"/>
        <w:jc w:val="both"/>
        <w:rPr>
          <w:rFonts w:ascii="Garamond" w:hAnsi="Garamond"/>
          <w:sz w:val="28"/>
          <w:szCs w:val="28"/>
        </w:rPr>
      </w:pPr>
      <w:r>
        <w:rPr>
          <w:rFonts w:ascii="Garamond" w:hAnsi="Garamond"/>
          <w:sz w:val="28"/>
          <w:szCs w:val="28"/>
        </w:rPr>
        <w:t>Za Komisję do spraw Legislacji</w:t>
      </w:r>
    </w:p>
    <w:p w:rsidR="00FF6357" w:rsidRPr="00FF6357" w:rsidRDefault="00FF6357" w:rsidP="004C2EE8">
      <w:pPr>
        <w:spacing w:after="0" w:line="240" w:lineRule="auto"/>
        <w:jc w:val="both"/>
        <w:rPr>
          <w:rFonts w:ascii="Garamond" w:hAnsi="Garamond"/>
          <w:sz w:val="28"/>
          <w:szCs w:val="28"/>
        </w:rPr>
      </w:pPr>
      <w:r>
        <w:rPr>
          <w:rFonts w:ascii="Garamond" w:hAnsi="Garamond"/>
          <w:sz w:val="28"/>
          <w:szCs w:val="28"/>
        </w:rPr>
        <w:t>Michał Formalik</w:t>
      </w:r>
      <w:bookmarkStart w:id="5" w:name="_GoBack"/>
      <w:bookmarkEnd w:id="5"/>
    </w:p>
    <w:p w:rsidR="00FF6357" w:rsidRDefault="00FF6357" w:rsidP="004C2EE8">
      <w:pPr>
        <w:spacing w:after="0" w:line="240" w:lineRule="auto"/>
        <w:jc w:val="both"/>
        <w:rPr>
          <w:rFonts w:ascii="Garamond" w:hAnsi="Garamond"/>
          <w:sz w:val="24"/>
          <w:szCs w:val="24"/>
        </w:rPr>
      </w:pPr>
    </w:p>
    <w:p w:rsidR="00FF6357" w:rsidRDefault="00FF6357" w:rsidP="004C2EE8">
      <w:pPr>
        <w:spacing w:after="0" w:line="240" w:lineRule="auto"/>
        <w:jc w:val="both"/>
        <w:rPr>
          <w:rFonts w:ascii="Garamond" w:hAnsi="Garamond"/>
          <w:sz w:val="24"/>
          <w:szCs w:val="24"/>
        </w:rPr>
      </w:pPr>
    </w:p>
    <w:p w:rsidR="00FF6357" w:rsidRPr="00DE0BB4" w:rsidRDefault="00FF6357" w:rsidP="004C2EE8">
      <w:pPr>
        <w:spacing w:after="0" w:line="240" w:lineRule="auto"/>
        <w:jc w:val="both"/>
        <w:rPr>
          <w:rFonts w:ascii="Garamond" w:eastAsia="Times New Roman" w:hAnsi="Garamond" w:cs="Times New Roman"/>
          <w:sz w:val="24"/>
          <w:szCs w:val="24"/>
          <w:lang w:eastAsia="pl-PL"/>
        </w:rPr>
      </w:pPr>
    </w:p>
    <w:p w:rsidR="00FB2475" w:rsidRPr="00BC64E0" w:rsidRDefault="00FB2475" w:rsidP="00BC64E0">
      <w:pPr>
        <w:jc w:val="both"/>
        <w:rPr>
          <w:rFonts w:ascii="Garamond" w:hAnsi="Garamond"/>
          <w:sz w:val="24"/>
          <w:szCs w:val="24"/>
        </w:rPr>
      </w:pPr>
    </w:p>
    <w:sectPr w:rsidR="00FB2475" w:rsidRPr="00BC6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58" w:rsidRDefault="00CD5158" w:rsidP="00565271">
      <w:pPr>
        <w:spacing w:after="0" w:line="240" w:lineRule="auto"/>
      </w:pPr>
      <w:r>
        <w:separator/>
      </w:r>
    </w:p>
  </w:endnote>
  <w:endnote w:type="continuationSeparator" w:id="0">
    <w:p w:rsidR="00CD5158" w:rsidRDefault="00CD5158" w:rsidP="005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58" w:rsidRDefault="00CD5158" w:rsidP="00565271">
      <w:pPr>
        <w:spacing w:after="0" w:line="240" w:lineRule="auto"/>
      </w:pPr>
      <w:r>
        <w:separator/>
      </w:r>
    </w:p>
  </w:footnote>
  <w:footnote w:type="continuationSeparator" w:id="0">
    <w:p w:rsidR="00CD5158" w:rsidRDefault="00CD5158" w:rsidP="00565271">
      <w:pPr>
        <w:spacing w:after="0" w:line="240" w:lineRule="auto"/>
      </w:pPr>
      <w:r>
        <w:continuationSeparator/>
      </w:r>
    </w:p>
  </w:footnote>
  <w:footnote w:id="1">
    <w:p w:rsidR="00565271" w:rsidRDefault="00565271">
      <w:pPr>
        <w:pStyle w:val="Tekstprzypisudolnego"/>
      </w:pPr>
      <w:r>
        <w:rPr>
          <w:rStyle w:val="Odwoanieprzypisudolnego"/>
        </w:rPr>
        <w:footnoteRef/>
      </w:r>
      <w:r>
        <w:t xml:space="preserve"> </w:t>
      </w:r>
      <w:r w:rsidR="00FF6357" w:rsidRPr="00BC64E0">
        <w:rPr>
          <w:rFonts w:ascii="Garamond" w:hAnsi="Garamond"/>
          <w:sz w:val="24"/>
          <w:szCs w:val="24"/>
        </w:rPr>
        <w:t xml:space="preserve">(por. post. SN z 19.2.1998 r., </w:t>
      </w:r>
      <w:hyperlink r:id="rId1" w:history="1">
        <w:r w:rsidR="00FF6357" w:rsidRPr="00BC64E0">
          <w:rPr>
            <w:rStyle w:val="Hipercze"/>
            <w:rFonts w:ascii="Garamond" w:hAnsi="Garamond"/>
            <w:sz w:val="24"/>
            <w:szCs w:val="24"/>
          </w:rPr>
          <w:t>II UZ 13/98</w:t>
        </w:r>
      </w:hyperlink>
      <w:r w:rsidR="00FF6357" w:rsidRPr="00BC64E0">
        <w:rPr>
          <w:rFonts w:ascii="Garamond" w:hAnsi="Garamond"/>
          <w:sz w:val="24"/>
          <w:szCs w:val="24"/>
        </w:rPr>
        <w:t>, OSNAPiUS 1999, Nr 4, poz. 149)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0"/>
      </w:tblGrid>
      <w:tr w:rsidR="00565271" w:rsidRPr="00565271" w:rsidTr="00565271">
        <w:trPr>
          <w:tblCellSpacing w:w="15" w:type="dxa"/>
        </w:trPr>
        <w:tc>
          <w:tcPr>
            <w:tcW w:w="0" w:type="auto"/>
            <w:vAlign w:val="center"/>
            <w:hideMark/>
          </w:tcPr>
          <w:p w:rsidR="00565271" w:rsidRPr="00565271" w:rsidRDefault="00565271" w:rsidP="00565271">
            <w:pPr>
              <w:spacing w:after="0" w:line="240" w:lineRule="auto"/>
              <w:rPr>
                <w:rFonts w:ascii="Garamond" w:eastAsia="Times New Roman" w:hAnsi="Garamond" w:cs="Times New Roman"/>
                <w:lang w:eastAsia="pl-PL"/>
              </w:rPr>
            </w:pPr>
            <w:r w:rsidRPr="00565271">
              <w:rPr>
                <w:rFonts w:ascii="Garamond" w:eastAsia="Times New Roman" w:hAnsi="Garamond" w:cs="Times New Roman"/>
                <w:lang w:eastAsia="pl-PL"/>
              </w:rPr>
              <w:t>Kodeks postępowan</w:t>
            </w:r>
            <w:r>
              <w:rPr>
                <w:rFonts w:ascii="Garamond" w:eastAsia="Times New Roman" w:hAnsi="Garamond" w:cs="Times New Roman"/>
                <w:lang w:eastAsia="pl-PL"/>
              </w:rPr>
              <w:t>ia cywilnego. Tom I. Komentarz. Art.</w:t>
            </w:r>
            <w:r w:rsidRPr="00565271">
              <w:rPr>
                <w:rFonts w:ascii="Garamond" w:eastAsia="Times New Roman" w:hAnsi="Garamond" w:cs="Times New Roman"/>
                <w:lang w:eastAsia="pl-PL"/>
              </w:rPr>
              <w:t xml:space="preserve"> 1–366</w:t>
            </w:r>
          </w:p>
        </w:tc>
      </w:tr>
      <w:tr w:rsidR="00565271" w:rsidRPr="00565271" w:rsidTr="00565271">
        <w:trPr>
          <w:tblCellSpacing w:w="15" w:type="dxa"/>
        </w:trPr>
        <w:tc>
          <w:tcPr>
            <w:tcW w:w="0" w:type="auto"/>
            <w:vAlign w:val="center"/>
            <w:hideMark/>
          </w:tcPr>
          <w:p w:rsidR="00565271" w:rsidRPr="00565271" w:rsidRDefault="00565271" w:rsidP="00565271">
            <w:pPr>
              <w:spacing w:after="0" w:line="240" w:lineRule="auto"/>
              <w:rPr>
                <w:rFonts w:ascii="Garamond" w:eastAsia="Times New Roman" w:hAnsi="Garamond" w:cs="Times New Roman"/>
                <w:lang w:eastAsia="pl-PL"/>
              </w:rPr>
            </w:pPr>
            <w:r w:rsidRPr="00565271">
              <w:rPr>
                <w:rFonts w:ascii="Garamond" w:eastAsia="Times New Roman" w:hAnsi="Garamond" w:cs="Times New Roman"/>
                <w:lang w:eastAsia="pl-PL"/>
              </w:rPr>
              <w:t>red. Dr hab. Andrzej Marciniak, Dr hab. Kazimierz Piasecki</w:t>
            </w:r>
          </w:p>
        </w:tc>
      </w:tr>
    </w:tbl>
    <w:p w:rsidR="00565271" w:rsidRPr="00565271" w:rsidRDefault="00565271">
      <w:pPr>
        <w:pStyle w:val="Tekstprzypisudolnego"/>
        <w:rPr>
          <w:rFonts w:ascii="Garamond" w:hAnsi="Garamond"/>
          <w:sz w:val="22"/>
          <w:szCs w:val="22"/>
        </w:rPr>
      </w:pPr>
      <w:r w:rsidRPr="00565271">
        <w:rPr>
          <w:rFonts w:ascii="Garamond" w:hAnsi="Garamond"/>
          <w:sz w:val="22"/>
          <w:szCs w:val="22"/>
        </w:rPr>
        <w:t>- komentarz do art. 119 k.pc.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F5"/>
    <w:rsid w:val="00283FF5"/>
    <w:rsid w:val="004149F6"/>
    <w:rsid w:val="00487AF1"/>
    <w:rsid w:val="004C2EE8"/>
    <w:rsid w:val="004E531D"/>
    <w:rsid w:val="00565271"/>
    <w:rsid w:val="00681188"/>
    <w:rsid w:val="00685F6B"/>
    <w:rsid w:val="007B3567"/>
    <w:rsid w:val="00827C1B"/>
    <w:rsid w:val="009373EF"/>
    <w:rsid w:val="00A87F28"/>
    <w:rsid w:val="00BC64E0"/>
    <w:rsid w:val="00CD5158"/>
    <w:rsid w:val="00DE0BB4"/>
    <w:rsid w:val="00E02210"/>
    <w:rsid w:val="00EB1BEF"/>
    <w:rsid w:val="00FB2475"/>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8AF8-B8FE-4CBF-AE77-C17A8186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283FF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83FF5"/>
    <w:rPr>
      <w:rFonts w:ascii="Calibri" w:hAnsi="Calibri"/>
      <w:szCs w:val="21"/>
    </w:rPr>
  </w:style>
  <w:style w:type="character" w:styleId="Hipercze">
    <w:name w:val="Hyperlink"/>
    <w:basedOn w:val="Domylnaczcionkaakapitu"/>
    <w:uiPriority w:val="99"/>
    <w:semiHidden/>
    <w:unhideWhenUsed/>
    <w:rsid w:val="00565271"/>
    <w:rPr>
      <w:color w:val="0000FF"/>
      <w:u w:val="single"/>
    </w:rPr>
  </w:style>
  <w:style w:type="paragraph" w:styleId="Tekstprzypisudolnego">
    <w:name w:val="footnote text"/>
    <w:basedOn w:val="Normalny"/>
    <w:link w:val="TekstprzypisudolnegoZnak"/>
    <w:uiPriority w:val="99"/>
    <w:semiHidden/>
    <w:unhideWhenUsed/>
    <w:rsid w:val="005652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5271"/>
    <w:rPr>
      <w:sz w:val="20"/>
      <w:szCs w:val="20"/>
    </w:rPr>
  </w:style>
  <w:style w:type="character" w:styleId="Odwoanieprzypisudolnego">
    <w:name w:val="footnote reference"/>
    <w:basedOn w:val="Domylnaczcionkaakapitu"/>
    <w:uiPriority w:val="99"/>
    <w:semiHidden/>
    <w:unhideWhenUsed/>
    <w:rsid w:val="00565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38087">
      <w:bodyDiv w:val="1"/>
      <w:marLeft w:val="0"/>
      <w:marRight w:val="0"/>
      <w:marTop w:val="0"/>
      <w:marBottom w:val="0"/>
      <w:divBdr>
        <w:top w:val="none" w:sz="0" w:space="0" w:color="auto"/>
        <w:left w:val="none" w:sz="0" w:space="0" w:color="auto"/>
        <w:bottom w:val="none" w:sz="0" w:space="0" w:color="auto"/>
        <w:right w:val="none" w:sz="0" w:space="0" w:color="auto"/>
      </w:divBdr>
    </w:div>
    <w:div w:id="1909026178">
      <w:bodyDiv w:val="1"/>
      <w:marLeft w:val="0"/>
      <w:marRight w:val="0"/>
      <w:marTop w:val="0"/>
      <w:marBottom w:val="0"/>
      <w:divBdr>
        <w:top w:val="none" w:sz="0" w:space="0" w:color="auto"/>
        <w:left w:val="none" w:sz="0" w:space="0" w:color="auto"/>
        <w:bottom w:val="none" w:sz="0" w:space="0" w:color="auto"/>
        <w:right w:val="none" w:sz="0" w:space="0" w:color="auto"/>
      </w:divBdr>
      <w:divsChild>
        <w:div w:id="1408645726">
          <w:marLeft w:val="0"/>
          <w:marRight w:val="0"/>
          <w:marTop w:val="0"/>
          <w:marBottom w:val="0"/>
          <w:divBdr>
            <w:top w:val="none" w:sz="0" w:space="0" w:color="auto"/>
            <w:left w:val="none" w:sz="0" w:space="0" w:color="auto"/>
            <w:bottom w:val="none" w:sz="0" w:space="0" w:color="auto"/>
            <w:right w:val="none" w:sz="0" w:space="0" w:color="auto"/>
          </w:divBdr>
          <w:divsChild>
            <w:div w:id="1429694020">
              <w:marLeft w:val="0"/>
              <w:marRight w:val="0"/>
              <w:marTop w:val="0"/>
              <w:marBottom w:val="0"/>
              <w:divBdr>
                <w:top w:val="none" w:sz="0" w:space="0" w:color="auto"/>
                <w:left w:val="none" w:sz="0" w:space="0" w:color="auto"/>
                <w:bottom w:val="none" w:sz="0" w:space="0" w:color="auto"/>
                <w:right w:val="none" w:sz="0" w:space="0" w:color="auto"/>
              </w:divBdr>
              <w:divsChild>
                <w:div w:id="1095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758">
          <w:marLeft w:val="0"/>
          <w:marRight w:val="0"/>
          <w:marTop w:val="0"/>
          <w:marBottom w:val="0"/>
          <w:divBdr>
            <w:top w:val="none" w:sz="0" w:space="0" w:color="auto"/>
            <w:left w:val="none" w:sz="0" w:space="0" w:color="auto"/>
            <w:bottom w:val="none" w:sz="0" w:space="0" w:color="auto"/>
            <w:right w:val="none" w:sz="0" w:space="0" w:color="auto"/>
          </w:divBdr>
          <w:divsChild>
            <w:div w:id="919144744">
              <w:marLeft w:val="0"/>
              <w:marRight w:val="0"/>
              <w:marTop w:val="0"/>
              <w:marBottom w:val="0"/>
              <w:divBdr>
                <w:top w:val="none" w:sz="0" w:space="0" w:color="auto"/>
                <w:left w:val="none" w:sz="0" w:space="0" w:color="auto"/>
                <w:bottom w:val="none" w:sz="0" w:space="0" w:color="auto"/>
                <w:right w:val="none" w:sz="0" w:space="0" w:color="auto"/>
              </w:divBdr>
            </w:div>
            <w:div w:id="953827955">
              <w:marLeft w:val="0"/>
              <w:marRight w:val="0"/>
              <w:marTop w:val="0"/>
              <w:marBottom w:val="0"/>
              <w:divBdr>
                <w:top w:val="none" w:sz="0" w:space="0" w:color="auto"/>
                <w:left w:val="none" w:sz="0" w:space="0" w:color="auto"/>
                <w:bottom w:val="none" w:sz="0" w:space="0" w:color="auto"/>
                <w:right w:val="none" w:sz="0" w:space="0" w:color="auto"/>
              </w:divBdr>
              <w:divsChild>
                <w:div w:id="1581985526">
                  <w:marLeft w:val="0"/>
                  <w:marRight w:val="0"/>
                  <w:marTop w:val="0"/>
                  <w:marBottom w:val="0"/>
                  <w:divBdr>
                    <w:top w:val="none" w:sz="0" w:space="0" w:color="auto"/>
                    <w:left w:val="none" w:sz="0" w:space="0" w:color="auto"/>
                    <w:bottom w:val="none" w:sz="0" w:space="0" w:color="auto"/>
                    <w:right w:val="none" w:sz="0" w:space="0" w:color="auto"/>
                  </w:divBdr>
                </w:div>
              </w:divsChild>
            </w:div>
            <w:div w:id="1243560491">
              <w:marLeft w:val="0"/>
              <w:marRight w:val="0"/>
              <w:marTop w:val="0"/>
              <w:marBottom w:val="0"/>
              <w:divBdr>
                <w:top w:val="none" w:sz="0" w:space="0" w:color="auto"/>
                <w:left w:val="none" w:sz="0" w:space="0" w:color="auto"/>
                <w:bottom w:val="none" w:sz="0" w:space="0" w:color="auto"/>
                <w:right w:val="none" w:sz="0" w:space="0" w:color="auto"/>
              </w:divBdr>
              <w:divsChild>
                <w:div w:id="1179461780">
                  <w:marLeft w:val="0"/>
                  <w:marRight w:val="0"/>
                  <w:marTop w:val="0"/>
                  <w:marBottom w:val="0"/>
                  <w:divBdr>
                    <w:top w:val="none" w:sz="0" w:space="0" w:color="auto"/>
                    <w:left w:val="none" w:sz="0" w:space="0" w:color="auto"/>
                    <w:bottom w:val="none" w:sz="0" w:space="0" w:color="auto"/>
                    <w:right w:val="none" w:sz="0" w:space="0" w:color="auto"/>
                  </w:divBdr>
                </w:div>
              </w:divsChild>
            </w:div>
            <w:div w:id="940574814">
              <w:marLeft w:val="0"/>
              <w:marRight w:val="0"/>
              <w:marTop w:val="0"/>
              <w:marBottom w:val="0"/>
              <w:divBdr>
                <w:top w:val="none" w:sz="0" w:space="0" w:color="auto"/>
                <w:left w:val="none" w:sz="0" w:space="0" w:color="auto"/>
                <w:bottom w:val="none" w:sz="0" w:space="0" w:color="auto"/>
                <w:right w:val="none" w:sz="0" w:space="0" w:color="auto"/>
              </w:divBdr>
              <w:divsChild>
                <w:div w:id="688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5937">
          <w:marLeft w:val="0"/>
          <w:marRight w:val="0"/>
          <w:marTop w:val="0"/>
          <w:marBottom w:val="0"/>
          <w:divBdr>
            <w:top w:val="none" w:sz="0" w:space="0" w:color="auto"/>
            <w:left w:val="none" w:sz="0" w:space="0" w:color="auto"/>
            <w:bottom w:val="none" w:sz="0" w:space="0" w:color="auto"/>
            <w:right w:val="none" w:sz="0" w:space="0" w:color="auto"/>
          </w:divBdr>
          <w:divsChild>
            <w:div w:id="1960186102">
              <w:marLeft w:val="0"/>
              <w:marRight w:val="0"/>
              <w:marTop w:val="0"/>
              <w:marBottom w:val="0"/>
              <w:divBdr>
                <w:top w:val="none" w:sz="0" w:space="0" w:color="auto"/>
                <w:left w:val="none" w:sz="0" w:space="0" w:color="auto"/>
                <w:bottom w:val="none" w:sz="0" w:space="0" w:color="auto"/>
                <w:right w:val="none" w:sz="0" w:space="0" w:color="auto"/>
              </w:divBdr>
            </w:div>
            <w:div w:id="880629402">
              <w:marLeft w:val="0"/>
              <w:marRight w:val="0"/>
              <w:marTop w:val="0"/>
              <w:marBottom w:val="0"/>
              <w:divBdr>
                <w:top w:val="none" w:sz="0" w:space="0" w:color="auto"/>
                <w:left w:val="none" w:sz="0" w:space="0" w:color="auto"/>
                <w:bottom w:val="none" w:sz="0" w:space="0" w:color="auto"/>
                <w:right w:val="none" w:sz="0" w:space="0" w:color="auto"/>
              </w:divBdr>
              <w:divsChild>
                <w:div w:id="1048724216">
                  <w:marLeft w:val="0"/>
                  <w:marRight w:val="0"/>
                  <w:marTop w:val="0"/>
                  <w:marBottom w:val="0"/>
                  <w:divBdr>
                    <w:top w:val="none" w:sz="0" w:space="0" w:color="auto"/>
                    <w:left w:val="none" w:sz="0" w:space="0" w:color="auto"/>
                    <w:bottom w:val="none" w:sz="0" w:space="0" w:color="auto"/>
                    <w:right w:val="none" w:sz="0" w:space="0" w:color="auto"/>
                  </w:divBdr>
                </w:div>
              </w:divsChild>
            </w:div>
            <w:div w:id="1156989906">
              <w:marLeft w:val="0"/>
              <w:marRight w:val="0"/>
              <w:marTop w:val="0"/>
              <w:marBottom w:val="0"/>
              <w:divBdr>
                <w:top w:val="none" w:sz="0" w:space="0" w:color="auto"/>
                <w:left w:val="none" w:sz="0" w:space="0" w:color="auto"/>
                <w:bottom w:val="none" w:sz="0" w:space="0" w:color="auto"/>
                <w:right w:val="none" w:sz="0" w:space="0" w:color="auto"/>
              </w:divBdr>
              <w:divsChild>
                <w:div w:id="74984369">
                  <w:marLeft w:val="0"/>
                  <w:marRight w:val="0"/>
                  <w:marTop w:val="0"/>
                  <w:marBottom w:val="0"/>
                  <w:divBdr>
                    <w:top w:val="none" w:sz="0" w:space="0" w:color="auto"/>
                    <w:left w:val="none" w:sz="0" w:space="0" w:color="auto"/>
                    <w:bottom w:val="none" w:sz="0" w:space="0" w:color="auto"/>
                    <w:right w:val="none" w:sz="0" w:space="0" w:color="auto"/>
                  </w:divBdr>
                </w:div>
              </w:divsChild>
            </w:div>
            <w:div w:id="534586267">
              <w:marLeft w:val="0"/>
              <w:marRight w:val="0"/>
              <w:marTop w:val="0"/>
              <w:marBottom w:val="0"/>
              <w:divBdr>
                <w:top w:val="none" w:sz="0" w:space="0" w:color="auto"/>
                <w:left w:val="none" w:sz="0" w:space="0" w:color="auto"/>
                <w:bottom w:val="none" w:sz="0" w:space="0" w:color="auto"/>
                <w:right w:val="none" w:sz="0" w:space="0" w:color="auto"/>
              </w:divBdr>
              <w:divsChild>
                <w:div w:id="1871189281">
                  <w:marLeft w:val="0"/>
                  <w:marRight w:val="0"/>
                  <w:marTop w:val="0"/>
                  <w:marBottom w:val="0"/>
                  <w:divBdr>
                    <w:top w:val="none" w:sz="0" w:space="0" w:color="auto"/>
                    <w:left w:val="none" w:sz="0" w:space="0" w:color="auto"/>
                    <w:bottom w:val="none" w:sz="0" w:space="0" w:color="auto"/>
                    <w:right w:val="none" w:sz="0" w:space="0" w:color="auto"/>
                  </w:divBdr>
                </w:div>
              </w:divsChild>
            </w:div>
            <w:div w:id="303893016">
              <w:marLeft w:val="0"/>
              <w:marRight w:val="0"/>
              <w:marTop w:val="0"/>
              <w:marBottom w:val="0"/>
              <w:divBdr>
                <w:top w:val="none" w:sz="0" w:space="0" w:color="auto"/>
                <w:left w:val="none" w:sz="0" w:space="0" w:color="auto"/>
                <w:bottom w:val="none" w:sz="0" w:space="0" w:color="auto"/>
                <w:right w:val="none" w:sz="0" w:space="0" w:color="auto"/>
              </w:divBdr>
              <w:divsChild>
                <w:div w:id="196504847">
                  <w:marLeft w:val="0"/>
                  <w:marRight w:val="0"/>
                  <w:marTop w:val="0"/>
                  <w:marBottom w:val="0"/>
                  <w:divBdr>
                    <w:top w:val="none" w:sz="0" w:space="0" w:color="auto"/>
                    <w:left w:val="none" w:sz="0" w:space="0" w:color="auto"/>
                    <w:bottom w:val="none" w:sz="0" w:space="0" w:color="auto"/>
                    <w:right w:val="none" w:sz="0" w:space="0" w:color="auto"/>
                  </w:divBdr>
                </w:div>
              </w:divsChild>
            </w:div>
            <w:div w:id="1513035278">
              <w:marLeft w:val="0"/>
              <w:marRight w:val="0"/>
              <w:marTop w:val="0"/>
              <w:marBottom w:val="0"/>
              <w:divBdr>
                <w:top w:val="none" w:sz="0" w:space="0" w:color="auto"/>
                <w:left w:val="none" w:sz="0" w:space="0" w:color="auto"/>
                <w:bottom w:val="none" w:sz="0" w:space="0" w:color="auto"/>
                <w:right w:val="none" w:sz="0" w:space="0" w:color="auto"/>
              </w:divBdr>
              <w:divsChild>
                <w:div w:id="1068966616">
                  <w:marLeft w:val="0"/>
                  <w:marRight w:val="0"/>
                  <w:marTop w:val="0"/>
                  <w:marBottom w:val="0"/>
                  <w:divBdr>
                    <w:top w:val="none" w:sz="0" w:space="0" w:color="auto"/>
                    <w:left w:val="none" w:sz="0" w:space="0" w:color="auto"/>
                    <w:bottom w:val="none" w:sz="0" w:space="0" w:color="auto"/>
                    <w:right w:val="none" w:sz="0" w:space="0" w:color="auto"/>
                  </w:divBdr>
                </w:div>
              </w:divsChild>
            </w:div>
            <w:div w:id="1241210989">
              <w:marLeft w:val="0"/>
              <w:marRight w:val="0"/>
              <w:marTop w:val="0"/>
              <w:marBottom w:val="0"/>
              <w:divBdr>
                <w:top w:val="none" w:sz="0" w:space="0" w:color="auto"/>
                <w:left w:val="none" w:sz="0" w:space="0" w:color="auto"/>
                <w:bottom w:val="none" w:sz="0" w:space="0" w:color="auto"/>
                <w:right w:val="none" w:sz="0" w:space="0" w:color="auto"/>
              </w:divBdr>
              <w:divsChild>
                <w:div w:id="939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4030">
      <w:bodyDiv w:val="1"/>
      <w:marLeft w:val="0"/>
      <w:marRight w:val="0"/>
      <w:marTop w:val="0"/>
      <w:marBottom w:val="0"/>
      <w:divBdr>
        <w:top w:val="none" w:sz="0" w:space="0" w:color="auto"/>
        <w:left w:val="none" w:sz="0" w:space="0" w:color="auto"/>
        <w:bottom w:val="none" w:sz="0" w:space="0" w:color="auto"/>
        <w:right w:val="none" w:sz="0" w:space="0" w:color="auto"/>
      </w:divBdr>
    </w:div>
    <w:div w:id="2048606040">
      <w:bodyDiv w:val="1"/>
      <w:marLeft w:val="0"/>
      <w:marRight w:val="0"/>
      <w:marTop w:val="0"/>
      <w:marBottom w:val="0"/>
      <w:divBdr>
        <w:top w:val="none" w:sz="0" w:space="0" w:color="auto"/>
        <w:left w:val="none" w:sz="0" w:space="0" w:color="auto"/>
        <w:bottom w:val="none" w:sz="0" w:space="0" w:color="auto"/>
        <w:right w:val="none" w:sz="0" w:space="0" w:color="auto"/>
      </w:divBdr>
      <w:divsChild>
        <w:div w:id="741103972">
          <w:marLeft w:val="0"/>
          <w:marRight w:val="0"/>
          <w:marTop w:val="0"/>
          <w:marBottom w:val="0"/>
          <w:divBdr>
            <w:top w:val="none" w:sz="0" w:space="0" w:color="auto"/>
            <w:left w:val="none" w:sz="0" w:space="0" w:color="auto"/>
            <w:bottom w:val="none" w:sz="0" w:space="0" w:color="auto"/>
            <w:right w:val="none" w:sz="0" w:space="0" w:color="auto"/>
          </w:divBdr>
        </w:div>
        <w:div w:id="1993366044">
          <w:marLeft w:val="0"/>
          <w:marRight w:val="0"/>
          <w:marTop w:val="0"/>
          <w:marBottom w:val="0"/>
          <w:divBdr>
            <w:top w:val="none" w:sz="0" w:space="0" w:color="auto"/>
            <w:left w:val="none" w:sz="0" w:space="0" w:color="auto"/>
            <w:bottom w:val="none" w:sz="0" w:space="0" w:color="auto"/>
            <w:right w:val="none" w:sz="0" w:space="0" w:color="auto"/>
          </w:divBdr>
          <w:divsChild>
            <w:div w:id="1271938665">
              <w:marLeft w:val="0"/>
              <w:marRight w:val="0"/>
              <w:marTop w:val="0"/>
              <w:marBottom w:val="0"/>
              <w:divBdr>
                <w:top w:val="none" w:sz="0" w:space="0" w:color="auto"/>
                <w:left w:val="none" w:sz="0" w:space="0" w:color="auto"/>
                <w:bottom w:val="none" w:sz="0" w:space="0" w:color="auto"/>
                <w:right w:val="none" w:sz="0" w:space="0" w:color="auto"/>
              </w:divBdr>
              <w:divsChild>
                <w:div w:id="2087610367">
                  <w:marLeft w:val="0"/>
                  <w:marRight w:val="0"/>
                  <w:marTop w:val="0"/>
                  <w:marBottom w:val="0"/>
                  <w:divBdr>
                    <w:top w:val="none" w:sz="0" w:space="0" w:color="auto"/>
                    <w:left w:val="none" w:sz="0" w:space="0" w:color="auto"/>
                    <w:bottom w:val="none" w:sz="0" w:space="0" w:color="auto"/>
                    <w:right w:val="none" w:sz="0" w:space="0" w:color="auto"/>
                  </w:divBdr>
                </w:div>
              </w:divsChild>
            </w:div>
            <w:div w:id="1690176512">
              <w:marLeft w:val="0"/>
              <w:marRight w:val="0"/>
              <w:marTop w:val="0"/>
              <w:marBottom w:val="0"/>
              <w:divBdr>
                <w:top w:val="none" w:sz="0" w:space="0" w:color="auto"/>
                <w:left w:val="none" w:sz="0" w:space="0" w:color="auto"/>
                <w:bottom w:val="none" w:sz="0" w:space="0" w:color="auto"/>
                <w:right w:val="none" w:sz="0" w:space="0" w:color="auto"/>
              </w:divBdr>
              <w:divsChild>
                <w:div w:id="1271889634">
                  <w:marLeft w:val="0"/>
                  <w:marRight w:val="0"/>
                  <w:marTop w:val="0"/>
                  <w:marBottom w:val="0"/>
                  <w:divBdr>
                    <w:top w:val="none" w:sz="0" w:space="0" w:color="auto"/>
                    <w:left w:val="none" w:sz="0" w:space="0" w:color="auto"/>
                    <w:bottom w:val="none" w:sz="0" w:space="0" w:color="auto"/>
                    <w:right w:val="none" w:sz="0" w:space="0" w:color="auto"/>
                  </w:divBdr>
                  <w:divsChild>
                    <w:div w:id="1244140407">
                      <w:marLeft w:val="0"/>
                      <w:marRight w:val="0"/>
                      <w:marTop w:val="0"/>
                      <w:marBottom w:val="0"/>
                      <w:divBdr>
                        <w:top w:val="none" w:sz="0" w:space="0" w:color="auto"/>
                        <w:left w:val="none" w:sz="0" w:space="0" w:color="auto"/>
                        <w:bottom w:val="none" w:sz="0" w:space="0" w:color="auto"/>
                        <w:right w:val="none" w:sz="0" w:space="0" w:color="auto"/>
                      </w:divBdr>
                    </w:div>
                    <w:div w:id="1007098146">
                      <w:marLeft w:val="0"/>
                      <w:marRight w:val="0"/>
                      <w:marTop w:val="0"/>
                      <w:marBottom w:val="0"/>
                      <w:divBdr>
                        <w:top w:val="none" w:sz="0" w:space="0" w:color="auto"/>
                        <w:left w:val="none" w:sz="0" w:space="0" w:color="auto"/>
                        <w:bottom w:val="none" w:sz="0" w:space="0" w:color="auto"/>
                        <w:right w:val="none" w:sz="0" w:space="0" w:color="auto"/>
                      </w:divBdr>
                    </w:div>
                    <w:div w:id="13390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enjsgaztcltqmfyc4nbtgy2tkmrxh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rswglrtgu4tom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9FB0-EA82-4018-BE95-B6FEB5AC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Formalik</dc:creator>
  <cp:keywords/>
  <dc:description/>
  <cp:lastModifiedBy>Michal Formalik</cp:lastModifiedBy>
  <cp:revision>5</cp:revision>
  <dcterms:created xsi:type="dcterms:W3CDTF">2018-10-12T07:19:00Z</dcterms:created>
  <dcterms:modified xsi:type="dcterms:W3CDTF">2018-10-15T07:41:00Z</dcterms:modified>
</cp:coreProperties>
</file>